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Verdana" w:hAnsi="Verdana"/>
          <w:b/>
          <w:color w:val="002060"/>
          <w:sz w:val="18"/>
          <w:szCs w:val="18"/>
          <w:lang w:val="fr-BE"/>
        </w:rPr>
      </w:pPr>
      <w:r>
        <w:rPr>
          <w:rFonts w:ascii="Verdana" w:hAnsi="Verdana"/>
          <w:b/>
          <w:color w:val="002060"/>
          <w:sz w:val="18"/>
          <w:szCs w:val="18"/>
          <w:lang w:val="fr-BE"/>
        </w:rPr>
        <w:t xml:space="preserve">Introduction : </w:t>
      </w:r>
    </w:p>
    <w:p>
      <w:pPr>
        <w:spacing w:after="120" w:line="240" w:lineRule="auto"/>
        <w:jc w:val="both"/>
        <w:rPr>
          <w:rFonts w:ascii="Verdana" w:hAnsi="Verdana"/>
          <w:color w:val="002060"/>
          <w:sz w:val="18"/>
          <w:szCs w:val="18"/>
          <w:lang w:val="fr-BE"/>
        </w:rPr>
      </w:pPr>
      <w:r>
        <w:rPr>
          <w:rFonts w:ascii="Verdana" w:hAnsi="Verdana"/>
          <w:color w:val="002060"/>
          <w:sz w:val="18"/>
          <w:szCs w:val="18"/>
          <w:lang w:val="fr-BE"/>
        </w:rPr>
        <w:t>En signant la charte Erasmus+ 2014-2020, les établissements d’enseignement supérieur (EES) se sont engagés « </w:t>
      </w:r>
      <w:r>
        <w:rPr>
          <w:rFonts w:ascii="Verdana" w:hAnsi="Verdana"/>
          <w:i/>
          <w:color w:val="002060"/>
          <w:sz w:val="18"/>
          <w:szCs w:val="18"/>
          <w:lang w:val="fr-BE"/>
        </w:rPr>
        <w:t>à exploiter les résultats des projets de façon à maximiser leurs impacts sur les individus et les établissements participants et à encourager l’apprentissage par les pairs dans le monde de l’enseignement au sens large</w:t>
      </w:r>
      <w:r>
        <w:rPr>
          <w:rFonts w:ascii="Verdana" w:hAnsi="Verdana"/>
          <w:color w:val="002060"/>
          <w:sz w:val="18"/>
          <w:szCs w:val="18"/>
          <w:lang w:val="fr-BE"/>
        </w:rPr>
        <w:t> ».</w:t>
      </w:r>
    </w:p>
    <w:p>
      <w:pPr>
        <w:jc w:val="both"/>
        <w:rPr>
          <w:rFonts w:ascii="Verdana" w:hAnsi="Verdana"/>
          <w:color w:val="002060"/>
          <w:sz w:val="18"/>
          <w:szCs w:val="18"/>
          <w:lang w:val="fr-BE"/>
        </w:rPr>
      </w:pPr>
      <w:bookmarkStart w:id="0" w:name="_GoBack"/>
      <w:bookmarkEnd w:id="0"/>
      <w:r>
        <w:rPr>
          <w:rFonts w:ascii="Verdana" w:hAnsi="Verdana"/>
          <w:color w:val="002060"/>
          <w:sz w:val="18"/>
          <w:szCs w:val="20"/>
          <w:lang w:val="fr-BE"/>
        </w:rPr>
        <w:t>Pour encourager les EES à nourrir leur réflexion sur cet aspect et leur permettre d’identifier des résultats</w:t>
      </w:r>
      <w:r>
        <w:rPr>
          <w:rFonts w:ascii="Verdana" w:hAnsi="Verdana"/>
          <w:color w:val="002060"/>
          <w:sz w:val="18"/>
          <w:szCs w:val="18"/>
          <w:lang w:val="fr-BE"/>
        </w:rPr>
        <w:t xml:space="preserve">, l’AEF-Europe a constitué un groupe de travail en collaboration avec les EES afin de leur fournir un outil exploitable de mesure de l’impact/des résultats en listant les indicateurs pertinents. </w:t>
      </w:r>
    </w:p>
    <w:p>
      <w:pPr>
        <w:jc w:val="both"/>
        <w:rPr>
          <w:rFonts w:ascii="Verdana" w:hAnsi="Verdana"/>
          <w:color w:val="002060"/>
          <w:sz w:val="18"/>
          <w:szCs w:val="18"/>
          <w:lang w:val="fr-BE"/>
        </w:rPr>
      </w:pPr>
      <w:r>
        <w:rPr>
          <w:rFonts w:ascii="Verdana" w:hAnsi="Verdana"/>
          <w:color w:val="002060"/>
          <w:sz w:val="18"/>
          <w:szCs w:val="18"/>
          <w:lang w:val="fr-BE"/>
        </w:rPr>
        <w:t>L’objectif général étant de mieux exploiter les données quantitatives et qualitatives relatives à la mobilité Erasmus+ issues des Rapports finaux des participants (RFP) et des RFB dans une perspective générale d’accroissement de la qualité de la mobilité au niveau institutionnel et de la FWB.</w:t>
      </w:r>
    </w:p>
    <w:p>
      <w:pPr>
        <w:jc w:val="both"/>
        <w:rPr>
          <w:rFonts w:ascii="Verdana" w:hAnsi="Verdana"/>
          <w:b/>
          <w:color w:val="002060"/>
          <w:sz w:val="18"/>
          <w:szCs w:val="20"/>
          <w:lang w:val="fr-BE"/>
        </w:rPr>
      </w:pPr>
      <w:r>
        <w:rPr>
          <w:rFonts w:ascii="Verdana" w:hAnsi="Verdana"/>
          <w:b/>
          <w:color w:val="002060"/>
          <w:sz w:val="18"/>
          <w:szCs w:val="20"/>
          <w:lang w:val="fr-BE"/>
        </w:rPr>
        <w:t xml:space="preserve">Glossaire : </w:t>
      </w:r>
    </w:p>
    <w:p>
      <w:pPr>
        <w:jc w:val="both"/>
        <w:rPr>
          <w:rFonts w:ascii="Verdana" w:hAnsi="Verdana"/>
          <w:color w:val="002060"/>
          <w:sz w:val="18"/>
          <w:szCs w:val="20"/>
          <w:lang w:val="fr-BE"/>
        </w:rPr>
      </w:pPr>
      <w:r>
        <w:rPr>
          <w:rFonts w:ascii="Verdana" w:hAnsi="Verdana"/>
          <w:i/>
          <w:color w:val="002060"/>
          <w:sz w:val="18"/>
          <w:szCs w:val="20"/>
          <w:lang w:val="fr-BE"/>
        </w:rPr>
        <w:t>Impact </w:t>
      </w:r>
      <w:r>
        <w:rPr>
          <w:rFonts w:ascii="Verdana" w:hAnsi="Verdana"/>
          <w:color w:val="002060"/>
          <w:sz w:val="18"/>
          <w:szCs w:val="20"/>
          <w:lang w:val="fr-BE"/>
        </w:rPr>
        <w:t>: effet qu’ont l’activité réalisée et ses résultats sur les personnes, pratiques, organisations et systèmes.</w:t>
      </w:r>
    </w:p>
    <w:p>
      <w:pPr>
        <w:jc w:val="both"/>
        <w:rPr>
          <w:rFonts w:ascii="Verdana" w:hAnsi="Verdana"/>
          <w:color w:val="002060"/>
          <w:sz w:val="18"/>
          <w:szCs w:val="20"/>
          <w:lang w:val="fr-BE"/>
        </w:rPr>
      </w:pPr>
      <w:r>
        <w:rPr>
          <w:rFonts w:ascii="Verdana" w:hAnsi="Verdana"/>
          <w:i/>
          <w:color w:val="002060"/>
          <w:sz w:val="18"/>
          <w:szCs w:val="20"/>
          <w:lang w:val="fr-BE"/>
        </w:rPr>
        <w:t>Résultats</w:t>
      </w:r>
      <w:r>
        <w:rPr>
          <w:rFonts w:ascii="Verdana" w:hAnsi="Verdana"/>
          <w:color w:val="002060"/>
          <w:sz w:val="18"/>
          <w:szCs w:val="20"/>
          <w:lang w:val="fr-BE"/>
        </w:rPr>
        <w:t> : Les résultats du projet peuvent être de nature diverse et être tantôt des éléments concrets (tangibles), tantôt des aptitudes et des expériences personnelles acquises par les organisateurs du projet et les participants aux activités (résultats intangibles).</w:t>
      </w:r>
    </w:p>
    <w:p>
      <w:pPr>
        <w:jc w:val="both"/>
        <w:rPr>
          <w:rFonts w:ascii="Verdana" w:hAnsi="Verdana"/>
          <w:color w:val="002060"/>
          <w:sz w:val="18"/>
          <w:szCs w:val="20"/>
          <w:lang w:val="fr-BE"/>
        </w:rPr>
      </w:pPr>
      <w:r>
        <w:rPr>
          <w:rFonts w:ascii="Verdana" w:hAnsi="Verdana"/>
          <w:i/>
          <w:color w:val="002060"/>
          <w:sz w:val="18"/>
          <w:szCs w:val="20"/>
          <w:lang w:val="fr-BE"/>
        </w:rPr>
        <w:t>Indicateurs</w:t>
      </w:r>
      <w:r>
        <w:rPr>
          <w:rFonts w:ascii="Verdana" w:hAnsi="Verdana"/>
          <w:color w:val="002060"/>
          <w:sz w:val="18"/>
          <w:szCs w:val="20"/>
          <w:lang w:val="fr-BE"/>
        </w:rPr>
        <w:t> : le mode de mesure d'un objectif  à atteindre, d’une ressource mobilisée, d’un effet obtenu, d’un critère de qualité ou d’une variable contextuelle.</w:t>
      </w:r>
    </w:p>
    <w:p>
      <w:pPr>
        <w:jc w:val="both"/>
        <w:rPr>
          <w:rFonts w:ascii="Verdana" w:hAnsi="Verdana"/>
          <w:b/>
          <w:color w:val="002060"/>
          <w:sz w:val="18"/>
          <w:szCs w:val="20"/>
          <w:lang w:val="fr-BE"/>
        </w:rPr>
      </w:pPr>
      <w:r>
        <w:rPr>
          <w:rFonts w:ascii="Verdana" w:hAnsi="Verdana"/>
          <w:b/>
          <w:color w:val="002060"/>
          <w:sz w:val="18"/>
          <w:szCs w:val="20"/>
          <w:lang w:val="fr-BE"/>
        </w:rPr>
        <w:t>Méthode de travail :</w:t>
      </w:r>
    </w:p>
    <w:p>
      <w:pPr>
        <w:jc w:val="both"/>
        <w:rPr>
          <w:rFonts w:ascii="Verdana" w:hAnsi="Verdana"/>
          <w:color w:val="002060"/>
          <w:sz w:val="18"/>
          <w:szCs w:val="20"/>
          <w:lang w:val="fr-BE"/>
        </w:rPr>
      </w:pPr>
      <w:r>
        <w:rPr>
          <w:rFonts w:ascii="Verdana" w:hAnsi="Verdana"/>
          <w:color w:val="002060"/>
          <w:sz w:val="18"/>
          <w:szCs w:val="20"/>
          <w:lang w:val="fr-BE"/>
        </w:rPr>
        <w:t xml:space="preserve">Les données à exploiter sont principalement disponibles via l’outil de </w:t>
      </w:r>
      <w:proofErr w:type="spellStart"/>
      <w:r>
        <w:rPr>
          <w:rFonts w:ascii="Verdana" w:hAnsi="Verdana"/>
          <w:color w:val="002060"/>
          <w:sz w:val="18"/>
          <w:szCs w:val="20"/>
          <w:lang w:val="fr-BE"/>
        </w:rPr>
        <w:t>reporting</w:t>
      </w:r>
      <w:proofErr w:type="spellEnd"/>
      <w:r>
        <w:rPr>
          <w:rFonts w:ascii="Verdana" w:hAnsi="Verdana"/>
          <w:color w:val="002060"/>
          <w:sz w:val="18"/>
          <w:szCs w:val="20"/>
          <w:lang w:val="fr-BE"/>
        </w:rPr>
        <w:t xml:space="preserve"> </w:t>
      </w:r>
      <w:proofErr w:type="spellStart"/>
      <w:r>
        <w:rPr>
          <w:rFonts w:ascii="Verdana" w:hAnsi="Verdana"/>
          <w:color w:val="002060"/>
          <w:sz w:val="18"/>
          <w:szCs w:val="20"/>
          <w:lang w:val="fr-BE"/>
        </w:rPr>
        <w:t>Mobility</w:t>
      </w:r>
      <w:proofErr w:type="spellEnd"/>
      <w:r>
        <w:rPr>
          <w:rFonts w:ascii="Verdana" w:hAnsi="Verdana"/>
          <w:color w:val="002060"/>
          <w:sz w:val="18"/>
          <w:szCs w:val="20"/>
          <w:lang w:val="fr-BE"/>
        </w:rPr>
        <w:t xml:space="preserve"> </w:t>
      </w:r>
      <w:proofErr w:type="spellStart"/>
      <w:r>
        <w:rPr>
          <w:rFonts w:ascii="Verdana" w:hAnsi="Verdana"/>
          <w:color w:val="002060"/>
          <w:sz w:val="18"/>
          <w:szCs w:val="20"/>
          <w:lang w:val="fr-BE"/>
        </w:rPr>
        <w:t>Tool</w:t>
      </w:r>
      <w:proofErr w:type="spellEnd"/>
      <w:r>
        <w:rPr>
          <w:rFonts w:ascii="Verdana" w:hAnsi="Verdana"/>
          <w:color w:val="002060"/>
          <w:sz w:val="18"/>
          <w:szCs w:val="20"/>
          <w:lang w:val="fr-BE"/>
        </w:rPr>
        <w:t xml:space="preserve">+. Pour les obtenir, le bénéficiaire peut extraire via Excel l’ensemble des RFP pour accéder aux réponses et être capable de les traiter. Aussi, d’autres données peuvent être extraites grâce à la mise en place d’enquêtes/de dispositifs internes. Des exemples sont disponibles sur le </w:t>
      </w:r>
      <w:r>
        <w:rPr>
          <w:rFonts w:ascii="Verdana" w:hAnsi="Verdana"/>
          <w:color w:val="548DD4" w:themeColor="text2" w:themeTint="99"/>
          <w:sz w:val="18"/>
          <w:szCs w:val="20"/>
          <w:u w:val="single"/>
          <w:lang w:val="fr-BE"/>
        </w:rPr>
        <w:t>site web de l’AEF-Europe</w:t>
      </w:r>
      <w:r>
        <w:rPr>
          <w:rFonts w:ascii="Verdana" w:hAnsi="Verdana"/>
          <w:color w:val="002060"/>
          <w:sz w:val="18"/>
          <w:szCs w:val="20"/>
          <w:lang w:val="fr-BE"/>
        </w:rPr>
        <w:t xml:space="preserve">. </w:t>
      </w:r>
    </w:p>
    <w:p>
      <w:pPr>
        <w:jc w:val="both"/>
        <w:rPr>
          <w:rFonts w:ascii="Verdana" w:hAnsi="Verdana"/>
          <w:color w:val="002060"/>
          <w:sz w:val="18"/>
          <w:szCs w:val="20"/>
          <w:lang w:val="fr-BE"/>
        </w:rPr>
      </w:pPr>
      <w:r>
        <w:rPr>
          <w:rFonts w:ascii="Verdana" w:hAnsi="Verdana"/>
          <w:color w:val="002060"/>
          <w:sz w:val="18"/>
          <w:szCs w:val="20"/>
          <w:lang w:val="fr-BE"/>
        </w:rPr>
        <w:t xml:space="preserve">Pour accompagner les bénéficiaires, l’Agence en collaboration avec les membres du GT Impact et indicateur a synthétisé les données exploitables </w:t>
      </w:r>
      <w:r>
        <w:rPr>
          <w:rFonts w:ascii="Verdana" w:hAnsi="Verdana"/>
          <w:color w:val="548DD4" w:themeColor="text2" w:themeTint="99"/>
          <w:sz w:val="18"/>
          <w:szCs w:val="20"/>
          <w:u w:val="single"/>
          <w:lang w:val="fr-BE"/>
        </w:rPr>
        <w:t>à travers un fichier Excel</w:t>
      </w:r>
      <w:r>
        <w:rPr>
          <w:rFonts w:ascii="Verdana" w:hAnsi="Verdana"/>
          <w:color w:val="002060"/>
          <w:sz w:val="18"/>
          <w:szCs w:val="20"/>
          <w:lang w:val="fr-BE"/>
        </w:rPr>
        <w:t xml:space="preserve">. Celui-ci regroupe six hypothèses pouvant être mesurées dans le cadre du critère d’impact/résultats et ainsi nourrir le propos du RFB : </w:t>
      </w:r>
    </w:p>
    <w:p>
      <w:pPr>
        <w:spacing w:after="0"/>
        <w:jc w:val="both"/>
        <w:rPr>
          <w:rFonts w:ascii="Verdana" w:hAnsi="Verdana"/>
          <w:color w:val="002060"/>
          <w:sz w:val="18"/>
          <w:szCs w:val="20"/>
          <w:lang w:val="fr-BE"/>
        </w:rPr>
      </w:pPr>
      <w:r>
        <w:rPr>
          <w:rFonts w:ascii="Verdana" w:hAnsi="Verdana"/>
          <w:color w:val="002060"/>
          <w:sz w:val="18"/>
          <w:szCs w:val="20"/>
          <w:lang w:val="fr-BE"/>
        </w:rPr>
        <w:t>- H1 : La mobilité Erasmus + apporte une valeur ajoutée au parcours académique de l’étudiant </w:t>
      </w:r>
    </w:p>
    <w:p>
      <w:pPr>
        <w:spacing w:after="0"/>
        <w:jc w:val="both"/>
        <w:rPr>
          <w:rFonts w:ascii="Verdana" w:hAnsi="Verdana"/>
          <w:color w:val="002060"/>
          <w:sz w:val="18"/>
          <w:szCs w:val="20"/>
          <w:lang w:val="fr-BE"/>
        </w:rPr>
      </w:pPr>
      <w:r>
        <w:rPr>
          <w:rFonts w:ascii="Verdana" w:hAnsi="Verdana"/>
          <w:color w:val="002060"/>
          <w:sz w:val="18"/>
          <w:szCs w:val="20"/>
          <w:lang w:val="fr-BE"/>
        </w:rPr>
        <w:t>- H2 : la mobilité Erasmus+ permet de développer les compétences des membres du personnel</w:t>
      </w:r>
    </w:p>
    <w:p>
      <w:pPr>
        <w:spacing w:after="0"/>
        <w:jc w:val="both"/>
        <w:rPr>
          <w:rFonts w:ascii="Verdana" w:hAnsi="Verdana"/>
          <w:color w:val="002060"/>
          <w:sz w:val="18"/>
          <w:szCs w:val="20"/>
          <w:lang w:val="fr-BE"/>
        </w:rPr>
      </w:pPr>
      <w:r>
        <w:rPr>
          <w:rFonts w:ascii="Verdana" w:hAnsi="Verdana"/>
          <w:color w:val="002060"/>
          <w:sz w:val="18"/>
          <w:szCs w:val="20"/>
          <w:lang w:val="fr-BE"/>
        </w:rPr>
        <w:t>- H3 : La mobilité Erasmus + renforce les organismes à évoluer sur le plan international</w:t>
      </w:r>
    </w:p>
    <w:p>
      <w:pPr>
        <w:spacing w:after="0"/>
        <w:jc w:val="both"/>
        <w:rPr>
          <w:rFonts w:ascii="Verdana" w:hAnsi="Verdana"/>
          <w:color w:val="002060"/>
          <w:sz w:val="18"/>
          <w:szCs w:val="20"/>
          <w:lang w:val="fr-BE"/>
        </w:rPr>
      </w:pPr>
      <w:r>
        <w:rPr>
          <w:rFonts w:ascii="Verdana" w:hAnsi="Verdana"/>
          <w:color w:val="002060"/>
          <w:sz w:val="18"/>
          <w:szCs w:val="20"/>
          <w:lang w:val="fr-BE"/>
        </w:rPr>
        <w:t xml:space="preserve">- H4: le programme Erasmus+ est inclusif </w:t>
      </w:r>
    </w:p>
    <w:p>
      <w:pPr>
        <w:spacing w:after="0"/>
        <w:jc w:val="both"/>
        <w:rPr>
          <w:rFonts w:ascii="Verdana" w:hAnsi="Verdana"/>
          <w:color w:val="002060"/>
          <w:sz w:val="18"/>
          <w:szCs w:val="20"/>
          <w:lang w:val="fr-BE"/>
        </w:rPr>
      </w:pPr>
      <w:r>
        <w:rPr>
          <w:rFonts w:ascii="Verdana" w:hAnsi="Verdana"/>
          <w:color w:val="002060"/>
          <w:sz w:val="18"/>
          <w:szCs w:val="20"/>
          <w:lang w:val="fr-BE"/>
        </w:rPr>
        <w:t xml:space="preserve">- H5: le programme Erasmus+ permet de renforcer les liens entre l'établissement et le niveau local ou régional </w:t>
      </w:r>
    </w:p>
    <w:p>
      <w:pPr>
        <w:spacing w:after="0"/>
        <w:jc w:val="both"/>
        <w:rPr>
          <w:rFonts w:ascii="Verdana" w:hAnsi="Verdana"/>
          <w:color w:val="002060"/>
          <w:sz w:val="18"/>
          <w:szCs w:val="20"/>
          <w:lang w:val="fr-BE"/>
        </w:rPr>
      </w:pPr>
      <w:r>
        <w:rPr>
          <w:rFonts w:ascii="Verdana" w:hAnsi="Verdana"/>
          <w:color w:val="002060"/>
          <w:sz w:val="18"/>
          <w:szCs w:val="20"/>
          <w:lang w:val="fr-BE"/>
        </w:rPr>
        <w:t xml:space="preserve">- H6: La mobilité Erasmus + permet de favoriser l’insertion socio professionnelles des étudiants (employabilité) </w:t>
      </w:r>
    </w:p>
    <w:p>
      <w:pPr>
        <w:jc w:val="both"/>
        <w:rPr>
          <w:rFonts w:ascii="Verdana" w:hAnsi="Verdana"/>
          <w:color w:val="002060"/>
          <w:sz w:val="18"/>
          <w:szCs w:val="20"/>
          <w:lang w:val="fr-BE"/>
        </w:rPr>
      </w:pPr>
    </w:p>
    <w:p>
      <w:pPr>
        <w:spacing w:after="0" w:line="240" w:lineRule="auto"/>
        <w:jc w:val="both"/>
        <w:rPr>
          <w:rFonts w:ascii="Verdana" w:hAnsi="Verdana"/>
          <w:color w:val="002060"/>
          <w:sz w:val="18"/>
          <w:szCs w:val="20"/>
          <w:lang w:val="fr-BE"/>
        </w:rPr>
      </w:pPr>
      <w:r>
        <w:rPr>
          <w:rFonts w:ascii="Verdana" w:hAnsi="Verdana"/>
          <w:color w:val="002060"/>
          <w:sz w:val="18"/>
          <w:szCs w:val="20"/>
          <w:lang w:val="fr-BE"/>
        </w:rPr>
        <w:t xml:space="preserve">Ces hypothèses reposent sur quatre axes d’études : le participant, l’institution, la situation en dehors de l’institution et l’employabilité des étudiants diplômés. </w:t>
      </w:r>
    </w:p>
    <w:p>
      <w:pPr>
        <w:rPr>
          <w:rFonts w:ascii="Verdana" w:hAnsi="Verdana"/>
          <w:color w:val="002060"/>
          <w:sz w:val="18"/>
          <w:szCs w:val="20"/>
          <w:lang w:val="fr-BE"/>
        </w:rPr>
      </w:pPr>
      <w:r>
        <w:rPr>
          <w:rFonts w:ascii="Verdana" w:hAnsi="Verdana"/>
          <w:color w:val="002060"/>
          <w:sz w:val="18"/>
          <w:szCs w:val="20"/>
          <w:lang w:val="fr-BE"/>
        </w:rPr>
        <w:br w:type="page"/>
      </w:r>
    </w:p>
    <w:p>
      <w:pPr>
        <w:spacing w:after="0" w:line="240" w:lineRule="auto"/>
        <w:jc w:val="both"/>
        <w:rPr>
          <w:rFonts w:ascii="Verdana" w:hAnsi="Verdana"/>
          <w:color w:val="002060"/>
          <w:sz w:val="18"/>
          <w:szCs w:val="20"/>
          <w:lang w:val="fr-BE"/>
        </w:rPr>
      </w:pPr>
    </w:p>
    <w:p>
      <w:pPr>
        <w:spacing w:after="0" w:line="240" w:lineRule="auto"/>
        <w:jc w:val="both"/>
        <w:rPr>
          <w:rFonts w:ascii="Verdana" w:hAnsi="Verdana"/>
          <w:b/>
          <w:color w:val="002060"/>
          <w:sz w:val="18"/>
          <w:szCs w:val="20"/>
          <w:lang w:val="fr-BE"/>
        </w:rPr>
      </w:pPr>
    </w:p>
    <w:p>
      <w:pPr>
        <w:spacing w:after="0" w:line="240" w:lineRule="auto"/>
        <w:jc w:val="both"/>
        <w:rPr>
          <w:rFonts w:ascii="Verdana" w:hAnsi="Verdana"/>
          <w:b/>
          <w:color w:val="002060"/>
          <w:sz w:val="18"/>
          <w:szCs w:val="20"/>
          <w:lang w:val="fr-BE"/>
        </w:rPr>
      </w:pPr>
      <w:r>
        <w:rPr>
          <w:rFonts w:ascii="Verdana" w:hAnsi="Verdana"/>
          <w:b/>
          <w:color w:val="002060"/>
          <w:sz w:val="18"/>
          <w:szCs w:val="20"/>
          <w:lang w:val="fr-BE"/>
        </w:rPr>
        <w:t>Le traitement des données récoltées :</w:t>
      </w:r>
    </w:p>
    <w:p>
      <w:pPr>
        <w:spacing w:after="0" w:line="240" w:lineRule="auto"/>
        <w:jc w:val="both"/>
        <w:rPr>
          <w:rFonts w:ascii="Verdana" w:hAnsi="Verdana"/>
          <w:b/>
          <w:color w:val="002060"/>
          <w:sz w:val="18"/>
          <w:szCs w:val="20"/>
          <w:lang w:val="fr-BE"/>
        </w:rPr>
      </w:pPr>
    </w:p>
    <w:p>
      <w:pPr>
        <w:jc w:val="both"/>
        <w:rPr>
          <w:rFonts w:ascii="Verdana" w:hAnsi="Verdana"/>
          <w:color w:val="002060"/>
          <w:sz w:val="18"/>
          <w:szCs w:val="20"/>
          <w:lang w:val="fr-BE"/>
        </w:rPr>
      </w:pPr>
      <w:r>
        <w:rPr>
          <w:rFonts w:ascii="Verdana" w:hAnsi="Verdana"/>
          <w:color w:val="002060"/>
          <w:sz w:val="18"/>
          <w:szCs w:val="20"/>
          <w:lang w:val="fr-BE"/>
        </w:rPr>
        <w:t>Il est recommandé d’utiliser le logiciel Excel et les tableaux croisés dynamiques pour parvenir à un résultat exploitable.</w:t>
      </w:r>
    </w:p>
    <w:p>
      <w:pPr>
        <w:jc w:val="both"/>
        <w:rPr>
          <w:rFonts w:ascii="Verdana" w:hAnsi="Verdana"/>
          <w:color w:val="002060"/>
          <w:sz w:val="18"/>
          <w:szCs w:val="20"/>
          <w:lang w:val="fr-BE"/>
        </w:rPr>
      </w:pPr>
      <w:r>
        <w:rPr>
          <w:rFonts w:ascii="Verdana" w:hAnsi="Verdana"/>
          <w:color w:val="002060"/>
          <w:sz w:val="18"/>
          <w:szCs w:val="20"/>
          <w:lang w:val="fr-BE"/>
        </w:rPr>
        <w:t xml:space="preserve">Comment faire ? Suivez </w:t>
      </w:r>
      <w:r>
        <w:rPr>
          <w:rFonts w:ascii="Verdana" w:hAnsi="Verdana"/>
          <w:color w:val="548DD4" w:themeColor="text2" w:themeTint="99"/>
          <w:sz w:val="18"/>
          <w:szCs w:val="20"/>
          <w:u w:val="single"/>
          <w:lang w:val="fr-BE"/>
        </w:rPr>
        <w:t>la formation organisée par l’AEF</w:t>
      </w:r>
    </w:p>
    <w:p>
      <w:pPr>
        <w:jc w:val="both"/>
        <w:rPr>
          <w:rFonts w:ascii="Verdana" w:hAnsi="Verdana"/>
          <w:color w:val="002060"/>
          <w:sz w:val="18"/>
          <w:szCs w:val="20"/>
          <w:lang w:val="fr-BE"/>
        </w:rPr>
      </w:pPr>
    </w:p>
    <w:p>
      <w:pPr>
        <w:jc w:val="both"/>
        <w:rPr>
          <w:lang w:val="fr-BE"/>
        </w:rP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52E51"/>
    <w:multiLevelType w:val="hybridMultilevel"/>
    <w:tmpl w:val="F2C644F4"/>
    <w:lvl w:ilvl="0" w:tplc="45B6C0EA">
      <w:numFmt w:val="bullet"/>
      <w:lvlText w:val="-"/>
      <w:lvlJc w:val="left"/>
      <w:pPr>
        <w:ind w:left="360" w:hanging="360"/>
      </w:pPr>
      <w:rPr>
        <w:rFonts w:ascii="Verdana" w:eastAsia="MS Mincho" w:hAnsi="Verdana" w:cstheme="minorBidi" w:hint="default"/>
      </w:rPr>
    </w:lvl>
    <w:lvl w:ilvl="1" w:tplc="45B6C0EA">
      <w:numFmt w:val="bullet"/>
      <w:lvlText w:val="-"/>
      <w:lvlJc w:val="left"/>
      <w:pPr>
        <w:ind w:left="360" w:hanging="360"/>
      </w:pPr>
      <w:rPr>
        <w:rFonts w:ascii="Verdana" w:eastAsia="MS Mincho" w:hAnsi="Verdana" w:cstheme="minorBidi"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 w15:restartNumberingAfterBreak="0">
    <w:nsid w:val="379F11FA"/>
    <w:multiLevelType w:val="hybridMultilevel"/>
    <w:tmpl w:val="A36257BE"/>
    <w:lvl w:ilvl="0" w:tplc="756AC338">
      <w:start w:val="1"/>
      <w:numFmt w:val="bullet"/>
      <w:lvlText w:val=""/>
      <w:lvlJc w:val="left"/>
      <w:pPr>
        <w:tabs>
          <w:tab w:val="num" w:pos="360"/>
        </w:tabs>
        <w:ind w:left="360" w:hanging="360"/>
      </w:pPr>
      <w:rPr>
        <w:rFonts w:ascii="Wingdings" w:hAnsi="Wingdings" w:hint="default"/>
      </w:rPr>
    </w:lvl>
    <w:lvl w:ilvl="1" w:tplc="AFB686F8">
      <w:start w:val="1"/>
      <w:numFmt w:val="bullet"/>
      <w:lvlText w:val=""/>
      <w:lvlJc w:val="left"/>
      <w:pPr>
        <w:tabs>
          <w:tab w:val="num" w:pos="1080"/>
        </w:tabs>
        <w:ind w:left="1080" w:hanging="360"/>
      </w:pPr>
      <w:rPr>
        <w:rFonts w:ascii="Wingdings" w:hAnsi="Wingdings" w:hint="default"/>
      </w:rPr>
    </w:lvl>
    <w:lvl w:ilvl="2" w:tplc="76A057AC" w:tentative="1">
      <w:start w:val="1"/>
      <w:numFmt w:val="bullet"/>
      <w:lvlText w:val=""/>
      <w:lvlJc w:val="left"/>
      <w:pPr>
        <w:tabs>
          <w:tab w:val="num" w:pos="1800"/>
        </w:tabs>
        <w:ind w:left="1800" w:hanging="360"/>
      </w:pPr>
      <w:rPr>
        <w:rFonts w:ascii="Wingdings" w:hAnsi="Wingdings" w:hint="default"/>
      </w:rPr>
    </w:lvl>
    <w:lvl w:ilvl="3" w:tplc="E0F0F736" w:tentative="1">
      <w:start w:val="1"/>
      <w:numFmt w:val="bullet"/>
      <w:lvlText w:val=""/>
      <w:lvlJc w:val="left"/>
      <w:pPr>
        <w:tabs>
          <w:tab w:val="num" w:pos="2520"/>
        </w:tabs>
        <w:ind w:left="2520" w:hanging="360"/>
      </w:pPr>
      <w:rPr>
        <w:rFonts w:ascii="Wingdings" w:hAnsi="Wingdings" w:hint="default"/>
      </w:rPr>
    </w:lvl>
    <w:lvl w:ilvl="4" w:tplc="5448DA14" w:tentative="1">
      <w:start w:val="1"/>
      <w:numFmt w:val="bullet"/>
      <w:lvlText w:val=""/>
      <w:lvlJc w:val="left"/>
      <w:pPr>
        <w:tabs>
          <w:tab w:val="num" w:pos="3240"/>
        </w:tabs>
        <w:ind w:left="3240" w:hanging="360"/>
      </w:pPr>
      <w:rPr>
        <w:rFonts w:ascii="Wingdings" w:hAnsi="Wingdings" w:hint="default"/>
      </w:rPr>
    </w:lvl>
    <w:lvl w:ilvl="5" w:tplc="E28EE6F0" w:tentative="1">
      <w:start w:val="1"/>
      <w:numFmt w:val="bullet"/>
      <w:lvlText w:val=""/>
      <w:lvlJc w:val="left"/>
      <w:pPr>
        <w:tabs>
          <w:tab w:val="num" w:pos="3960"/>
        </w:tabs>
        <w:ind w:left="3960" w:hanging="360"/>
      </w:pPr>
      <w:rPr>
        <w:rFonts w:ascii="Wingdings" w:hAnsi="Wingdings" w:hint="default"/>
      </w:rPr>
    </w:lvl>
    <w:lvl w:ilvl="6" w:tplc="182E219A" w:tentative="1">
      <w:start w:val="1"/>
      <w:numFmt w:val="bullet"/>
      <w:lvlText w:val=""/>
      <w:lvlJc w:val="left"/>
      <w:pPr>
        <w:tabs>
          <w:tab w:val="num" w:pos="4680"/>
        </w:tabs>
        <w:ind w:left="4680" w:hanging="360"/>
      </w:pPr>
      <w:rPr>
        <w:rFonts w:ascii="Wingdings" w:hAnsi="Wingdings" w:hint="default"/>
      </w:rPr>
    </w:lvl>
    <w:lvl w:ilvl="7" w:tplc="5AB8A1E0" w:tentative="1">
      <w:start w:val="1"/>
      <w:numFmt w:val="bullet"/>
      <w:lvlText w:val=""/>
      <w:lvlJc w:val="left"/>
      <w:pPr>
        <w:tabs>
          <w:tab w:val="num" w:pos="5400"/>
        </w:tabs>
        <w:ind w:left="5400" w:hanging="360"/>
      </w:pPr>
      <w:rPr>
        <w:rFonts w:ascii="Wingdings" w:hAnsi="Wingdings" w:hint="default"/>
      </w:rPr>
    </w:lvl>
    <w:lvl w:ilvl="8" w:tplc="A8A68F8A"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4E4A8-2167-4A54-8277-253A3F93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Sous-titre"/>
    <w:link w:val="TitreCar"/>
    <w:uiPriority w:val="10"/>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heme="majorHAnsi" w:eastAsiaTheme="majorEastAsia" w:hAnsiTheme="majorHAnsi" w:cs="Times New Roman"/>
      <w:b/>
      <w:bCs/>
      <w:kern w:val="28"/>
      <w:sz w:val="32"/>
      <w:szCs w:val="32"/>
      <w:lang w:eastAsia="x-none"/>
    </w:rPr>
  </w:style>
  <w:style w:type="character" w:customStyle="1" w:styleId="TitreCar">
    <w:name w:val="Titre Car"/>
    <w:basedOn w:val="Policepardfaut"/>
    <w:link w:val="Titre"/>
    <w:uiPriority w:val="10"/>
    <w:rPr>
      <w:rFonts w:asciiTheme="majorHAnsi" w:eastAsiaTheme="majorEastAsia" w:hAnsiTheme="majorHAnsi"/>
      <w:b/>
      <w:bCs/>
      <w:kern w:val="28"/>
      <w:sz w:val="32"/>
      <w:szCs w:val="32"/>
      <w:lang w:val="en-GB" w:eastAsia="x-none"/>
    </w:rPr>
  </w:style>
  <w:style w:type="paragraph" w:styleId="Sous-titre">
    <w:name w:val="Subtitle"/>
    <w:basedOn w:val="Normal"/>
    <w:next w:val="Corpsdetexte"/>
    <w:link w:val="Sous-titreCar"/>
    <w:uiPriority w:val="11"/>
    <w:qFormat/>
    <w:pPr>
      <w:keepNext/>
      <w:spacing w:before="240" w:after="120"/>
      <w:jc w:val="center"/>
    </w:pPr>
    <w:rPr>
      <w:rFonts w:asciiTheme="majorHAnsi" w:eastAsiaTheme="majorEastAsia" w:hAnsiTheme="majorHAnsi" w:cs="Times New Roman"/>
      <w:sz w:val="24"/>
      <w:szCs w:val="24"/>
      <w:lang w:eastAsia="x-none"/>
    </w:rPr>
  </w:style>
  <w:style w:type="character" w:customStyle="1" w:styleId="Sous-titreCar">
    <w:name w:val="Sous-titre Car"/>
    <w:basedOn w:val="Policepardfaut"/>
    <w:link w:val="Sous-titre"/>
    <w:uiPriority w:val="11"/>
    <w:rPr>
      <w:rFonts w:asciiTheme="majorHAnsi" w:eastAsiaTheme="majorEastAsia" w:hAnsiTheme="majorHAnsi"/>
      <w:sz w:val="24"/>
      <w:szCs w:val="24"/>
      <w:lang w:val="en-GB" w:eastAsia="x-none"/>
    </w:rPr>
  </w:style>
  <w:style w:type="paragraph" w:styleId="Corpsdetexte">
    <w:name w:val="Body Text"/>
    <w:basedOn w:val="Normal"/>
    <w:link w:val="CorpsdetexteCar"/>
    <w:uiPriority w:val="99"/>
    <w:semiHidden/>
    <w:unhideWhenUsed/>
    <w:pPr>
      <w:spacing w:after="120"/>
    </w:pPr>
  </w:style>
  <w:style w:type="character" w:customStyle="1" w:styleId="CorpsdetexteCar">
    <w:name w:val="Corps de texte Car"/>
    <w:basedOn w:val="Policepardfaut"/>
    <w:link w:val="Corpsdetexte"/>
    <w:uiPriority w:val="99"/>
    <w:semiHidden/>
    <w:rPr>
      <w:rFonts w:ascii="Calibri" w:hAnsi="Calibri" w:cs="Calibri"/>
      <w:lang w:val="en-GB"/>
    </w:rPr>
  </w:style>
  <w:style w:type="character" w:styleId="lev">
    <w:name w:val="Strong"/>
    <w:basedOn w:val="Policepardfaut"/>
    <w:uiPriority w:val="22"/>
    <w:qFormat/>
    <w:rPr>
      <w:b/>
      <w:bCs/>
    </w:rPr>
  </w:style>
  <w:style w:type="character" w:styleId="Accentuation">
    <w:name w:val="Emphasis"/>
    <w:basedOn w:val="Policepardfaut"/>
    <w:uiPriority w:val="99"/>
    <w:qFormat/>
    <w:rPr>
      <w:rFonts w:cs="Times New Roman"/>
      <w:i/>
      <w:iCs/>
    </w:rPr>
  </w:style>
  <w:style w:type="paragraph" w:styleId="Paragraphedeliste">
    <w:name w:val="List Paragraph"/>
    <w:basedOn w:val="Normal"/>
    <w:uiPriority w:val="34"/>
    <w:qFormat/>
    <w:pPr>
      <w:ind w:left="720"/>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17121">
      <w:bodyDiv w:val="1"/>
      <w:marLeft w:val="0"/>
      <w:marRight w:val="0"/>
      <w:marTop w:val="0"/>
      <w:marBottom w:val="0"/>
      <w:divBdr>
        <w:top w:val="none" w:sz="0" w:space="0" w:color="auto"/>
        <w:left w:val="none" w:sz="0" w:space="0" w:color="auto"/>
        <w:bottom w:val="none" w:sz="0" w:space="0" w:color="auto"/>
        <w:right w:val="none" w:sz="0" w:space="0" w:color="auto"/>
      </w:divBdr>
    </w:div>
    <w:div w:id="1324049023">
      <w:bodyDiv w:val="1"/>
      <w:marLeft w:val="0"/>
      <w:marRight w:val="0"/>
      <w:marTop w:val="0"/>
      <w:marBottom w:val="0"/>
      <w:divBdr>
        <w:top w:val="none" w:sz="0" w:space="0" w:color="auto"/>
        <w:left w:val="none" w:sz="0" w:space="0" w:color="auto"/>
        <w:bottom w:val="none" w:sz="0" w:space="0" w:color="auto"/>
        <w:right w:val="none" w:sz="0" w:space="0" w:color="auto"/>
      </w:divBdr>
    </w:div>
    <w:div w:id="1776317625">
      <w:bodyDiv w:val="1"/>
      <w:marLeft w:val="0"/>
      <w:marRight w:val="0"/>
      <w:marTop w:val="0"/>
      <w:marBottom w:val="0"/>
      <w:divBdr>
        <w:top w:val="none" w:sz="0" w:space="0" w:color="auto"/>
        <w:left w:val="none" w:sz="0" w:space="0" w:color="auto"/>
        <w:bottom w:val="none" w:sz="0" w:space="0" w:color="auto"/>
        <w:right w:val="none" w:sz="0" w:space="0" w:color="auto"/>
      </w:divBdr>
      <w:divsChild>
        <w:div w:id="5791920">
          <w:marLeft w:val="0"/>
          <w:marRight w:val="0"/>
          <w:marTop w:val="0"/>
          <w:marBottom w:val="0"/>
          <w:divBdr>
            <w:top w:val="none" w:sz="0" w:space="0" w:color="auto"/>
            <w:left w:val="none" w:sz="0" w:space="0" w:color="auto"/>
            <w:bottom w:val="none" w:sz="0" w:space="0" w:color="auto"/>
            <w:right w:val="none" w:sz="0" w:space="0" w:color="auto"/>
          </w:divBdr>
        </w:div>
        <w:div w:id="1699312478">
          <w:marLeft w:val="0"/>
          <w:marRight w:val="0"/>
          <w:marTop w:val="0"/>
          <w:marBottom w:val="0"/>
          <w:divBdr>
            <w:top w:val="none" w:sz="0" w:space="0" w:color="auto"/>
            <w:left w:val="none" w:sz="0" w:space="0" w:color="auto"/>
            <w:bottom w:val="none" w:sz="0" w:space="0" w:color="auto"/>
            <w:right w:val="none" w:sz="0" w:space="0" w:color="auto"/>
          </w:divBdr>
        </w:div>
        <w:div w:id="2003700721">
          <w:marLeft w:val="0"/>
          <w:marRight w:val="0"/>
          <w:marTop w:val="0"/>
          <w:marBottom w:val="0"/>
          <w:divBdr>
            <w:top w:val="none" w:sz="0" w:space="0" w:color="auto"/>
            <w:left w:val="none" w:sz="0" w:space="0" w:color="auto"/>
            <w:bottom w:val="none" w:sz="0" w:space="0" w:color="auto"/>
            <w:right w:val="none" w:sz="0" w:space="0" w:color="auto"/>
          </w:divBdr>
        </w:div>
        <w:div w:id="468136478">
          <w:marLeft w:val="0"/>
          <w:marRight w:val="0"/>
          <w:marTop w:val="0"/>
          <w:marBottom w:val="0"/>
          <w:divBdr>
            <w:top w:val="none" w:sz="0" w:space="0" w:color="auto"/>
            <w:left w:val="none" w:sz="0" w:space="0" w:color="auto"/>
            <w:bottom w:val="none" w:sz="0" w:space="0" w:color="auto"/>
            <w:right w:val="none" w:sz="0" w:space="0" w:color="auto"/>
          </w:divBdr>
        </w:div>
        <w:div w:id="1139570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487</Words>
  <Characters>2683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LEPORCQ Nicolas</dc:creator>
  <cp:keywords/>
  <dc:description/>
  <cp:lastModifiedBy>LEPORCQ Nicolas</cp:lastModifiedBy>
  <cp:revision>7</cp:revision>
  <dcterms:created xsi:type="dcterms:W3CDTF">2019-10-17T14:03:00Z</dcterms:created>
  <dcterms:modified xsi:type="dcterms:W3CDTF">2019-10-21T12:48:00Z</dcterms:modified>
</cp:coreProperties>
</file>