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F5" w:rsidRDefault="004B107A" w:rsidP="004B107A">
      <w:pPr>
        <w:jc w:val="center"/>
      </w:pPr>
      <w:r>
        <w:rPr>
          <w:noProof/>
        </w:rPr>
        <w:drawing>
          <wp:inline distT="0" distB="0" distL="0" distR="0">
            <wp:extent cx="2286000"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86000" cy="914400"/>
                    </a:xfrm>
                    <a:prstGeom prst="rect">
                      <a:avLst/>
                    </a:prstGeom>
                  </pic:spPr>
                </pic:pic>
              </a:graphicData>
            </a:graphic>
          </wp:inline>
        </w:drawing>
      </w:r>
    </w:p>
    <w:p w:rsidR="004B107A" w:rsidRDefault="004B107A" w:rsidP="004B107A">
      <w:pPr>
        <w:jc w:val="center"/>
      </w:pPr>
    </w:p>
    <w:p w:rsidR="004B107A" w:rsidRDefault="004B107A" w:rsidP="004B107A">
      <w:pPr>
        <w:pStyle w:val="Title"/>
      </w:pPr>
      <w:r>
        <w:t>Erasmus+ Online Linguistic Support</w:t>
      </w:r>
    </w:p>
    <w:p w:rsidR="004B107A" w:rsidRDefault="004B107A" w:rsidP="004B107A">
      <w:pPr>
        <w:pStyle w:val="Title"/>
      </w:pPr>
      <w:r>
        <w:t>Statistical Report for National Agencies</w:t>
      </w:r>
      <w:bookmarkStart w:id="0" w:name="text_Erasmus__On"/>
      <w:bookmarkEnd w:id="0"/>
    </w:p>
    <w:p w:rsidR="004B107A" w:rsidRDefault="004B107A" w:rsidP="004B107A">
      <w:pPr>
        <w:jc w:val="center"/>
        <w:rPr>
          <w:b/>
          <w:sz w:val="28"/>
        </w:rPr>
      </w:pPr>
      <w:r>
        <w:rPr>
          <w:b/>
          <w:sz w:val="28"/>
        </w:rPr>
        <w:t>Agence francophone pour l’éducation et la formation tout au long de la vie - AEF -Europe - BE01</w:t>
      </w:r>
    </w:p>
    <w:p w:rsidR="004B107A" w:rsidRDefault="004B107A" w:rsidP="004B107A">
      <w:pPr>
        <w:jc w:val="center"/>
        <w:rPr>
          <w:b/>
          <w:sz w:val="28"/>
        </w:rPr>
      </w:pPr>
      <w:r>
        <w:rPr>
          <w:b/>
          <w:sz w:val="28"/>
        </w:rPr>
        <w:t>Call 2016</w:t>
      </w:r>
    </w:p>
    <w:p w:rsidR="004B107A" w:rsidRDefault="004B107A" w:rsidP="004B107A">
      <w:pPr>
        <w:jc w:val="center"/>
        <w:rPr>
          <w:b/>
          <w:sz w:val="28"/>
        </w:rPr>
      </w:pPr>
      <w:r>
        <w:rPr>
          <w:b/>
          <w:sz w:val="28"/>
        </w:rPr>
        <w:t>Higher Education</w:t>
      </w:r>
    </w:p>
    <w:p w:rsidR="004B107A" w:rsidRDefault="004B107A" w:rsidP="004B107A">
      <w:pPr>
        <w:jc w:val="center"/>
        <w:rPr>
          <w:b/>
          <w:sz w:val="28"/>
        </w:rPr>
      </w:pPr>
      <w:r>
        <w:rPr>
          <w:b/>
          <w:sz w:val="28"/>
        </w:rPr>
        <w:t>Reporting Period: 01/04/2016 to 28/02/2017</w:t>
      </w:r>
    </w:p>
    <w:p w:rsidR="004B107A" w:rsidRDefault="004B107A" w:rsidP="004B107A">
      <w:pPr>
        <w:jc w:val="center"/>
        <w:rPr>
          <w:b/>
          <w:sz w:val="28"/>
        </w:rPr>
      </w:pPr>
    </w:p>
    <w:p w:rsidR="004B107A" w:rsidRDefault="004B107A" w:rsidP="004B107A">
      <w:pPr>
        <w:jc w:val="center"/>
        <w:rPr>
          <w:sz w:val="28"/>
        </w:rPr>
      </w:pPr>
      <w:r>
        <w:rPr>
          <w:sz w:val="28"/>
        </w:rPr>
        <w:t>March 2017</w:t>
      </w:r>
    </w:p>
    <w:p w:rsidR="004B107A" w:rsidRDefault="004B107A" w:rsidP="004B107A">
      <w:pPr>
        <w:pStyle w:val="BodyText"/>
      </w:pPr>
    </w:p>
    <w:p w:rsidR="004B107A" w:rsidRDefault="004B107A" w:rsidP="004B107A">
      <w:pPr>
        <w:pStyle w:val="BodyText"/>
      </w:pPr>
    </w:p>
    <w:p w:rsidR="004B107A" w:rsidRDefault="004B107A" w:rsidP="004B107A">
      <w:pPr>
        <w:pStyle w:val="BodyText"/>
      </w:pPr>
      <w:r>
        <w:t>Disclaimer: This document has been prepared on behalf of the European Commission; however, it reflects only the views of the authors.  The Commission will not be held responsible for any of the information contained herein.</w:t>
      </w:r>
    </w:p>
    <w:p w:rsidR="004B107A" w:rsidRDefault="004B107A" w:rsidP="004B107A">
      <w:pPr>
        <w:pStyle w:val="BodyText"/>
      </w:pPr>
      <w:r>
        <w:t>With the Call 2016, six languages (Czech, Danish, Greek, Polish, Portuguese, and Swedish) were added to the OLS. They are presented in separate blocks in the following tables and figures or shown summarized as the category OT.</w:t>
      </w:r>
    </w:p>
    <w:p w:rsidR="004B107A" w:rsidRDefault="004B107A" w:rsidP="004B107A">
      <w:pPr>
        <w:pStyle w:val="BodyText"/>
      </w:pPr>
      <w:r>
        <w:t>Please also note that the methodology for calculating language assessment results has been further refined, and as of April 2016 this methodology is applied to all language assessment results and the reports produced on the basis of these results. For further information, National Agencies shall contact EACEA-EPLUS-OLS@ec.europa.eu.</w:t>
      </w:r>
    </w:p>
    <w:p w:rsidR="004B107A" w:rsidRDefault="004B107A">
      <w:pPr>
        <w:jc w:val="left"/>
      </w:pPr>
      <w:r>
        <w:br w:type="page"/>
      </w:r>
    </w:p>
    <w:p w:rsidR="004B107A" w:rsidRDefault="004B107A" w:rsidP="004B107A">
      <w:pPr>
        <w:rPr>
          <w:b/>
        </w:rPr>
      </w:pPr>
      <w:r>
        <w:rPr>
          <w:b/>
        </w:rPr>
        <w:lastRenderedPageBreak/>
        <w:t>Contents</w:t>
      </w:r>
    </w:p>
    <w:p w:rsidR="004B107A" w:rsidRDefault="004B107A">
      <w:pPr>
        <w:pStyle w:val="TOC1"/>
        <w:tabs>
          <w:tab w:val="right" w:leader="dot" w:pos="9017"/>
        </w:tabs>
        <w:rPr>
          <w:noProof/>
        </w:rPr>
      </w:pPr>
      <w:r>
        <w:rPr>
          <w:b/>
        </w:rPr>
        <w:fldChar w:fldCharType="begin"/>
      </w:r>
      <w:r>
        <w:rPr>
          <w:b/>
        </w:rPr>
        <w:instrText xml:space="preserve"> TOC \o "1-9" </w:instrText>
      </w:r>
      <w:r>
        <w:rPr>
          <w:b/>
        </w:rPr>
        <w:fldChar w:fldCharType="separate"/>
      </w:r>
      <w:r>
        <w:rPr>
          <w:noProof/>
        </w:rPr>
        <w:t>I. Erasmus+ OLS Usage</w:t>
      </w:r>
      <w:r>
        <w:rPr>
          <w:noProof/>
        </w:rPr>
        <w:tab/>
      </w:r>
      <w:r>
        <w:rPr>
          <w:noProof/>
        </w:rPr>
        <w:fldChar w:fldCharType="begin"/>
      </w:r>
      <w:r>
        <w:rPr>
          <w:noProof/>
        </w:rPr>
        <w:instrText xml:space="preserve"> PAGEREF _Toc476736697 \h </w:instrText>
      </w:r>
      <w:r>
        <w:rPr>
          <w:noProof/>
        </w:rPr>
      </w:r>
      <w:r>
        <w:rPr>
          <w:noProof/>
        </w:rPr>
        <w:fldChar w:fldCharType="separate"/>
      </w:r>
      <w:r>
        <w:rPr>
          <w:noProof/>
        </w:rPr>
        <w:t>3</w:t>
      </w:r>
      <w:r>
        <w:rPr>
          <w:noProof/>
        </w:rPr>
        <w:fldChar w:fldCharType="end"/>
      </w:r>
    </w:p>
    <w:p w:rsidR="004B107A" w:rsidRDefault="004B107A">
      <w:pPr>
        <w:pStyle w:val="TOC2"/>
        <w:tabs>
          <w:tab w:val="right" w:leader="dot" w:pos="9017"/>
        </w:tabs>
        <w:rPr>
          <w:noProof/>
        </w:rPr>
      </w:pPr>
      <w:r>
        <w:rPr>
          <w:noProof/>
        </w:rPr>
        <w:t>1. OLS Accounted and Effective Usage</w:t>
      </w:r>
      <w:r>
        <w:rPr>
          <w:noProof/>
        </w:rPr>
        <w:tab/>
      </w:r>
      <w:r>
        <w:rPr>
          <w:noProof/>
        </w:rPr>
        <w:fldChar w:fldCharType="begin"/>
      </w:r>
      <w:r>
        <w:rPr>
          <w:noProof/>
        </w:rPr>
        <w:instrText xml:space="preserve"> PAGEREF _Toc476736698 \h </w:instrText>
      </w:r>
      <w:r>
        <w:rPr>
          <w:noProof/>
        </w:rPr>
      </w:r>
      <w:r>
        <w:rPr>
          <w:noProof/>
        </w:rPr>
        <w:fldChar w:fldCharType="separate"/>
      </w:r>
      <w:r>
        <w:rPr>
          <w:noProof/>
        </w:rPr>
        <w:t>3</w:t>
      </w:r>
      <w:r>
        <w:rPr>
          <w:noProof/>
        </w:rPr>
        <w:fldChar w:fldCharType="end"/>
      </w:r>
    </w:p>
    <w:p w:rsidR="004B107A" w:rsidRDefault="004B107A">
      <w:pPr>
        <w:pStyle w:val="TOC2"/>
        <w:tabs>
          <w:tab w:val="right" w:leader="dot" w:pos="9017"/>
        </w:tabs>
        <w:rPr>
          <w:noProof/>
        </w:rPr>
      </w:pPr>
      <w:r>
        <w:rPr>
          <w:noProof/>
        </w:rPr>
        <w:t>2. OLS Usage per Month</w:t>
      </w:r>
      <w:r>
        <w:rPr>
          <w:noProof/>
        </w:rPr>
        <w:tab/>
      </w:r>
      <w:r>
        <w:rPr>
          <w:noProof/>
        </w:rPr>
        <w:fldChar w:fldCharType="begin"/>
      </w:r>
      <w:r>
        <w:rPr>
          <w:noProof/>
        </w:rPr>
        <w:instrText xml:space="preserve"> PAGEREF _Toc476736699 \h </w:instrText>
      </w:r>
      <w:r>
        <w:rPr>
          <w:noProof/>
        </w:rPr>
      </w:r>
      <w:r>
        <w:rPr>
          <w:noProof/>
        </w:rPr>
        <w:fldChar w:fldCharType="separate"/>
      </w:r>
      <w:r>
        <w:rPr>
          <w:noProof/>
        </w:rPr>
        <w:t>4</w:t>
      </w:r>
      <w:r>
        <w:rPr>
          <w:noProof/>
        </w:rPr>
        <w:fldChar w:fldCharType="end"/>
      </w:r>
    </w:p>
    <w:p w:rsidR="004B107A" w:rsidRDefault="004B107A">
      <w:pPr>
        <w:pStyle w:val="TOC2"/>
        <w:tabs>
          <w:tab w:val="right" w:leader="dot" w:pos="9017"/>
        </w:tabs>
        <w:rPr>
          <w:noProof/>
        </w:rPr>
      </w:pPr>
      <w:r>
        <w:rPr>
          <w:noProof/>
        </w:rPr>
        <w:t>3. Total OLS Usage per Language</w:t>
      </w:r>
      <w:r>
        <w:rPr>
          <w:noProof/>
        </w:rPr>
        <w:tab/>
      </w:r>
      <w:r>
        <w:rPr>
          <w:noProof/>
        </w:rPr>
        <w:fldChar w:fldCharType="begin"/>
      </w:r>
      <w:r>
        <w:rPr>
          <w:noProof/>
        </w:rPr>
        <w:instrText xml:space="preserve"> PAGEREF _Toc476736700 \h </w:instrText>
      </w:r>
      <w:r>
        <w:rPr>
          <w:noProof/>
        </w:rPr>
      </w:r>
      <w:r>
        <w:rPr>
          <w:noProof/>
        </w:rPr>
        <w:fldChar w:fldCharType="separate"/>
      </w:r>
      <w:r>
        <w:rPr>
          <w:noProof/>
        </w:rPr>
        <w:t>5</w:t>
      </w:r>
      <w:r>
        <w:rPr>
          <w:noProof/>
        </w:rPr>
        <w:fldChar w:fldCharType="end"/>
      </w:r>
    </w:p>
    <w:p w:rsidR="004B107A" w:rsidRDefault="004B107A">
      <w:pPr>
        <w:pStyle w:val="TOC1"/>
        <w:tabs>
          <w:tab w:val="right" w:leader="dot" w:pos="9017"/>
        </w:tabs>
        <w:rPr>
          <w:noProof/>
        </w:rPr>
      </w:pPr>
      <w:r>
        <w:rPr>
          <w:noProof/>
        </w:rPr>
        <w:t>II. Results of Erasmus+ OLS Language Assessments</w:t>
      </w:r>
      <w:r>
        <w:rPr>
          <w:noProof/>
        </w:rPr>
        <w:tab/>
      </w:r>
      <w:r>
        <w:rPr>
          <w:noProof/>
        </w:rPr>
        <w:fldChar w:fldCharType="begin"/>
      </w:r>
      <w:r>
        <w:rPr>
          <w:noProof/>
        </w:rPr>
        <w:instrText xml:space="preserve"> PAGEREF _Toc476736701 \h </w:instrText>
      </w:r>
      <w:r>
        <w:rPr>
          <w:noProof/>
        </w:rPr>
      </w:r>
      <w:r>
        <w:rPr>
          <w:noProof/>
        </w:rPr>
        <w:fldChar w:fldCharType="separate"/>
      </w:r>
      <w:r>
        <w:rPr>
          <w:noProof/>
        </w:rPr>
        <w:t>7</w:t>
      </w:r>
      <w:r>
        <w:rPr>
          <w:noProof/>
        </w:rPr>
        <w:fldChar w:fldCharType="end"/>
      </w:r>
    </w:p>
    <w:p w:rsidR="004B107A" w:rsidRDefault="004B107A">
      <w:pPr>
        <w:pStyle w:val="TOC2"/>
        <w:tabs>
          <w:tab w:val="right" w:leader="dot" w:pos="9017"/>
        </w:tabs>
        <w:rPr>
          <w:noProof/>
        </w:rPr>
      </w:pPr>
      <w:r>
        <w:rPr>
          <w:noProof/>
        </w:rPr>
        <w:t>1. OLS Results for the First Language Assessment</w:t>
      </w:r>
      <w:r>
        <w:rPr>
          <w:noProof/>
        </w:rPr>
        <w:tab/>
      </w:r>
      <w:r>
        <w:rPr>
          <w:noProof/>
        </w:rPr>
        <w:fldChar w:fldCharType="begin"/>
      </w:r>
      <w:r>
        <w:rPr>
          <w:noProof/>
        </w:rPr>
        <w:instrText xml:space="preserve"> PAGEREF _Toc476736702 \h </w:instrText>
      </w:r>
      <w:r>
        <w:rPr>
          <w:noProof/>
        </w:rPr>
      </w:r>
      <w:r>
        <w:rPr>
          <w:noProof/>
        </w:rPr>
        <w:fldChar w:fldCharType="separate"/>
      </w:r>
      <w:r>
        <w:rPr>
          <w:noProof/>
        </w:rPr>
        <w:t>7</w:t>
      </w:r>
      <w:r>
        <w:rPr>
          <w:noProof/>
        </w:rPr>
        <w:fldChar w:fldCharType="end"/>
      </w:r>
    </w:p>
    <w:p w:rsidR="004B107A" w:rsidRDefault="004B107A">
      <w:pPr>
        <w:pStyle w:val="TOC2"/>
        <w:tabs>
          <w:tab w:val="right" w:leader="dot" w:pos="9017"/>
        </w:tabs>
        <w:rPr>
          <w:noProof/>
        </w:rPr>
      </w:pPr>
      <w:r>
        <w:rPr>
          <w:noProof/>
        </w:rPr>
        <w:t>2. OLS Results for the Second Language Assessment</w:t>
      </w:r>
      <w:r>
        <w:rPr>
          <w:noProof/>
        </w:rPr>
        <w:tab/>
      </w:r>
      <w:r>
        <w:rPr>
          <w:noProof/>
        </w:rPr>
        <w:fldChar w:fldCharType="begin"/>
      </w:r>
      <w:r>
        <w:rPr>
          <w:noProof/>
        </w:rPr>
        <w:instrText xml:space="preserve"> PAGEREF _Toc476736703 \h </w:instrText>
      </w:r>
      <w:r>
        <w:rPr>
          <w:noProof/>
        </w:rPr>
      </w:r>
      <w:r>
        <w:rPr>
          <w:noProof/>
        </w:rPr>
        <w:fldChar w:fldCharType="separate"/>
      </w:r>
      <w:r>
        <w:rPr>
          <w:noProof/>
        </w:rPr>
        <w:t>8</w:t>
      </w:r>
      <w:r>
        <w:rPr>
          <w:noProof/>
        </w:rPr>
        <w:fldChar w:fldCharType="end"/>
      </w:r>
    </w:p>
    <w:p w:rsidR="004B107A" w:rsidRDefault="004B107A">
      <w:pPr>
        <w:pStyle w:val="TOC2"/>
        <w:tabs>
          <w:tab w:val="right" w:leader="dot" w:pos="9017"/>
        </w:tabs>
        <w:rPr>
          <w:noProof/>
        </w:rPr>
      </w:pPr>
      <w:r>
        <w:rPr>
          <w:noProof/>
        </w:rPr>
        <w:t>3. Comparison of OLS Results for the First and Second Language Assessment</w:t>
      </w:r>
      <w:r>
        <w:rPr>
          <w:noProof/>
        </w:rPr>
        <w:tab/>
      </w:r>
      <w:r>
        <w:rPr>
          <w:noProof/>
        </w:rPr>
        <w:fldChar w:fldCharType="begin"/>
      </w:r>
      <w:r>
        <w:rPr>
          <w:noProof/>
        </w:rPr>
        <w:instrText xml:space="preserve"> PAGEREF _Toc476736704 \h </w:instrText>
      </w:r>
      <w:r>
        <w:rPr>
          <w:noProof/>
        </w:rPr>
      </w:r>
      <w:r>
        <w:rPr>
          <w:noProof/>
        </w:rPr>
        <w:fldChar w:fldCharType="separate"/>
      </w:r>
      <w:r>
        <w:rPr>
          <w:noProof/>
        </w:rPr>
        <w:t>9</w:t>
      </w:r>
      <w:r>
        <w:rPr>
          <w:noProof/>
        </w:rPr>
        <w:fldChar w:fldCharType="end"/>
      </w:r>
    </w:p>
    <w:p w:rsidR="004B107A" w:rsidRDefault="004B107A">
      <w:pPr>
        <w:pStyle w:val="TOC1"/>
        <w:tabs>
          <w:tab w:val="right" w:leader="dot" w:pos="9017"/>
        </w:tabs>
        <w:rPr>
          <w:noProof/>
        </w:rPr>
      </w:pPr>
      <w:r>
        <w:rPr>
          <w:noProof/>
        </w:rPr>
        <w:t>III. Erasmus+ OLS Language Courses</w:t>
      </w:r>
      <w:r>
        <w:rPr>
          <w:noProof/>
        </w:rPr>
        <w:tab/>
      </w:r>
      <w:r>
        <w:rPr>
          <w:noProof/>
        </w:rPr>
        <w:fldChar w:fldCharType="begin"/>
      </w:r>
      <w:r>
        <w:rPr>
          <w:noProof/>
        </w:rPr>
        <w:instrText xml:space="preserve"> PAGEREF _Toc476736705 \h </w:instrText>
      </w:r>
      <w:r>
        <w:rPr>
          <w:noProof/>
        </w:rPr>
      </w:r>
      <w:r>
        <w:rPr>
          <w:noProof/>
        </w:rPr>
        <w:fldChar w:fldCharType="separate"/>
      </w:r>
      <w:r>
        <w:rPr>
          <w:noProof/>
        </w:rPr>
        <w:t>10</w:t>
      </w:r>
      <w:r>
        <w:rPr>
          <w:noProof/>
        </w:rPr>
        <w:fldChar w:fldCharType="end"/>
      </w:r>
    </w:p>
    <w:p w:rsidR="004B107A" w:rsidRDefault="004B107A">
      <w:pPr>
        <w:pStyle w:val="TOC2"/>
        <w:tabs>
          <w:tab w:val="right" w:leader="dot" w:pos="9017"/>
        </w:tabs>
        <w:rPr>
          <w:noProof/>
        </w:rPr>
      </w:pPr>
      <w:r>
        <w:rPr>
          <w:noProof/>
        </w:rPr>
        <w:t>1. Usage of OLS Language Courses</w:t>
      </w:r>
      <w:r>
        <w:rPr>
          <w:noProof/>
        </w:rPr>
        <w:tab/>
      </w:r>
      <w:r>
        <w:rPr>
          <w:noProof/>
        </w:rPr>
        <w:fldChar w:fldCharType="begin"/>
      </w:r>
      <w:r>
        <w:rPr>
          <w:noProof/>
        </w:rPr>
        <w:instrText xml:space="preserve"> PAGEREF _Toc476736706 \h </w:instrText>
      </w:r>
      <w:r>
        <w:rPr>
          <w:noProof/>
        </w:rPr>
      </w:r>
      <w:r>
        <w:rPr>
          <w:noProof/>
        </w:rPr>
        <w:fldChar w:fldCharType="separate"/>
      </w:r>
      <w:r>
        <w:rPr>
          <w:noProof/>
        </w:rPr>
        <w:t>10</w:t>
      </w:r>
      <w:r>
        <w:rPr>
          <w:noProof/>
        </w:rPr>
        <w:fldChar w:fldCharType="end"/>
      </w:r>
    </w:p>
    <w:p w:rsidR="004B107A" w:rsidRDefault="004B107A">
      <w:pPr>
        <w:pStyle w:val="TOC2"/>
        <w:tabs>
          <w:tab w:val="right" w:leader="dot" w:pos="9017"/>
        </w:tabs>
        <w:rPr>
          <w:noProof/>
        </w:rPr>
      </w:pPr>
      <w:r>
        <w:rPr>
          <w:noProof/>
        </w:rPr>
        <w:t>2. Main  Language vs Local Language</w:t>
      </w:r>
      <w:r>
        <w:rPr>
          <w:noProof/>
        </w:rPr>
        <w:tab/>
      </w:r>
      <w:r>
        <w:rPr>
          <w:noProof/>
        </w:rPr>
        <w:fldChar w:fldCharType="begin"/>
      </w:r>
      <w:r>
        <w:rPr>
          <w:noProof/>
        </w:rPr>
        <w:instrText xml:space="preserve"> PAGEREF _Toc476736707 \h </w:instrText>
      </w:r>
      <w:r>
        <w:rPr>
          <w:noProof/>
        </w:rPr>
      </w:r>
      <w:r>
        <w:rPr>
          <w:noProof/>
        </w:rPr>
        <w:fldChar w:fldCharType="separate"/>
      </w:r>
      <w:r>
        <w:rPr>
          <w:noProof/>
        </w:rPr>
        <w:t>12</w:t>
      </w:r>
      <w:r>
        <w:rPr>
          <w:noProof/>
        </w:rPr>
        <w:fldChar w:fldCharType="end"/>
      </w:r>
    </w:p>
    <w:p w:rsidR="004B107A" w:rsidRDefault="004B107A">
      <w:pPr>
        <w:pStyle w:val="TOC1"/>
        <w:tabs>
          <w:tab w:val="right" w:leader="dot" w:pos="9017"/>
        </w:tabs>
        <w:rPr>
          <w:noProof/>
        </w:rPr>
      </w:pPr>
      <w:r>
        <w:rPr>
          <w:noProof/>
        </w:rPr>
        <w:t>IV. Erasmus+ OLS Dashboard</w:t>
      </w:r>
      <w:r>
        <w:rPr>
          <w:noProof/>
        </w:rPr>
        <w:tab/>
      </w:r>
      <w:r>
        <w:rPr>
          <w:noProof/>
        </w:rPr>
        <w:fldChar w:fldCharType="begin"/>
      </w:r>
      <w:r>
        <w:rPr>
          <w:noProof/>
        </w:rPr>
        <w:instrText xml:space="preserve"> PAGEREF _Toc476736708 \h </w:instrText>
      </w:r>
      <w:r>
        <w:rPr>
          <w:noProof/>
        </w:rPr>
      </w:r>
      <w:r>
        <w:rPr>
          <w:noProof/>
        </w:rPr>
        <w:fldChar w:fldCharType="separate"/>
      </w:r>
      <w:r>
        <w:rPr>
          <w:noProof/>
        </w:rPr>
        <w:t>13</w:t>
      </w:r>
      <w:r>
        <w:rPr>
          <w:noProof/>
        </w:rPr>
        <w:fldChar w:fldCharType="end"/>
      </w:r>
    </w:p>
    <w:p w:rsidR="004B107A" w:rsidRDefault="004B107A">
      <w:pPr>
        <w:pStyle w:val="TOC1"/>
        <w:tabs>
          <w:tab w:val="right" w:leader="dot" w:pos="9017"/>
        </w:tabs>
        <w:rPr>
          <w:noProof/>
        </w:rPr>
      </w:pPr>
      <w:r>
        <w:rPr>
          <w:noProof/>
        </w:rPr>
        <w:t>V. Glossary of Specific Terminology Used in this Statistical Report</w:t>
      </w:r>
      <w:r>
        <w:rPr>
          <w:noProof/>
        </w:rPr>
        <w:tab/>
      </w:r>
      <w:r>
        <w:rPr>
          <w:noProof/>
        </w:rPr>
        <w:fldChar w:fldCharType="begin"/>
      </w:r>
      <w:r>
        <w:rPr>
          <w:noProof/>
        </w:rPr>
        <w:instrText xml:space="preserve"> PAGEREF _Toc476736709 \h </w:instrText>
      </w:r>
      <w:r>
        <w:rPr>
          <w:noProof/>
        </w:rPr>
      </w:r>
      <w:r>
        <w:rPr>
          <w:noProof/>
        </w:rPr>
        <w:fldChar w:fldCharType="separate"/>
      </w:r>
      <w:r>
        <w:rPr>
          <w:noProof/>
        </w:rPr>
        <w:t>14</w:t>
      </w:r>
      <w:r>
        <w:rPr>
          <w:noProof/>
        </w:rPr>
        <w:fldChar w:fldCharType="end"/>
      </w:r>
    </w:p>
    <w:p w:rsidR="004B107A" w:rsidRDefault="004B107A">
      <w:pPr>
        <w:pStyle w:val="TOC1"/>
        <w:tabs>
          <w:tab w:val="right" w:leader="dot" w:pos="9017"/>
        </w:tabs>
        <w:rPr>
          <w:noProof/>
        </w:rPr>
      </w:pPr>
      <w:r>
        <w:rPr>
          <w:noProof/>
        </w:rPr>
        <w:t>VI. Abbreviations Used in the Framework of the Erasmus+ OLS</w:t>
      </w:r>
      <w:r>
        <w:rPr>
          <w:noProof/>
        </w:rPr>
        <w:tab/>
      </w:r>
      <w:r>
        <w:rPr>
          <w:noProof/>
        </w:rPr>
        <w:fldChar w:fldCharType="begin"/>
      </w:r>
      <w:r>
        <w:rPr>
          <w:noProof/>
        </w:rPr>
        <w:instrText xml:space="preserve"> PAGEREF _Toc476736710 \h </w:instrText>
      </w:r>
      <w:r>
        <w:rPr>
          <w:noProof/>
        </w:rPr>
      </w:r>
      <w:r>
        <w:rPr>
          <w:noProof/>
        </w:rPr>
        <w:fldChar w:fldCharType="separate"/>
      </w:r>
      <w:r>
        <w:rPr>
          <w:noProof/>
        </w:rPr>
        <w:t>14</w:t>
      </w:r>
      <w:r>
        <w:rPr>
          <w:noProof/>
        </w:rPr>
        <w:fldChar w:fldCharType="end"/>
      </w:r>
    </w:p>
    <w:p w:rsidR="004B107A" w:rsidRDefault="004B107A">
      <w:pPr>
        <w:pStyle w:val="TOC1"/>
        <w:tabs>
          <w:tab w:val="right" w:leader="dot" w:pos="9017"/>
        </w:tabs>
        <w:rPr>
          <w:noProof/>
        </w:rPr>
      </w:pPr>
      <w:r>
        <w:rPr>
          <w:noProof/>
        </w:rPr>
        <w:t>VII. CEFR Levels</w:t>
      </w:r>
      <w:r>
        <w:rPr>
          <w:noProof/>
        </w:rPr>
        <w:tab/>
      </w:r>
      <w:r>
        <w:rPr>
          <w:noProof/>
        </w:rPr>
        <w:fldChar w:fldCharType="begin"/>
      </w:r>
      <w:r>
        <w:rPr>
          <w:noProof/>
        </w:rPr>
        <w:instrText xml:space="preserve"> PAGEREF _Toc476736711 \h </w:instrText>
      </w:r>
      <w:r>
        <w:rPr>
          <w:noProof/>
        </w:rPr>
      </w:r>
      <w:r>
        <w:rPr>
          <w:noProof/>
        </w:rPr>
        <w:fldChar w:fldCharType="separate"/>
      </w:r>
      <w:r>
        <w:rPr>
          <w:noProof/>
        </w:rPr>
        <w:t>15</w:t>
      </w:r>
      <w:r>
        <w:rPr>
          <w:noProof/>
        </w:rPr>
        <w:fldChar w:fldCharType="end"/>
      </w:r>
    </w:p>
    <w:p w:rsidR="004B107A" w:rsidRDefault="004B107A" w:rsidP="004B107A">
      <w:pPr>
        <w:rPr>
          <w:b/>
        </w:rPr>
        <w:sectPr w:rsidR="004B107A" w:rsidSect="004B107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9" w:footer="709" w:gutter="0"/>
          <w:cols w:space="708"/>
          <w:titlePg/>
          <w:docGrid w:linePitch="360"/>
        </w:sectPr>
      </w:pPr>
      <w:r>
        <w:rPr>
          <w:b/>
        </w:rPr>
        <w:fldChar w:fldCharType="end"/>
      </w:r>
    </w:p>
    <w:p w:rsidR="004B107A" w:rsidRDefault="004B107A" w:rsidP="004B107A">
      <w:pPr>
        <w:pStyle w:val="Heading1"/>
      </w:pPr>
      <w:bookmarkStart w:id="1" w:name="sec_I__Erasmus__OLS_Usage"/>
      <w:bookmarkStart w:id="2" w:name="_Toc476736697"/>
      <w:bookmarkEnd w:id="1"/>
      <w:r>
        <w:lastRenderedPageBreak/>
        <w:t>I. Erasmus+ OLS Usage</w:t>
      </w:r>
      <w:bookmarkEnd w:id="2"/>
    </w:p>
    <w:p w:rsidR="004B107A" w:rsidRDefault="004B107A" w:rsidP="004B107A">
      <w:pPr>
        <w:sectPr w:rsidR="004B107A" w:rsidSect="004B107A">
          <w:pgSz w:w="11907" w:h="16839" w:code="9"/>
          <w:pgMar w:top="1440" w:right="1440" w:bottom="1440" w:left="1440" w:header="709" w:footer="709" w:gutter="0"/>
          <w:cols w:space="708"/>
          <w:docGrid w:linePitch="360"/>
        </w:sectPr>
      </w:pPr>
    </w:p>
    <w:p w:rsidR="004B107A" w:rsidRDefault="004B107A" w:rsidP="004B107A">
      <w:pPr>
        <w:pStyle w:val="Heading2"/>
      </w:pPr>
      <w:bookmarkStart w:id="3" w:name="subsec____OLS_Accounted_and_Effective_Us"/>
      <w:bookmarkStart w:id="4" w:name="_Toc476736698"/>
      <w:bookmarkEnd w:id="3"/>
      <w:r>
        <w:lastRenderedPageBreak/>
        <w:t>1. OLS Accounted and Effective Usage</w:t>
      </w:r>
      <w:bookmarkEnd w:id="4"/>
    </w:p>
    <w:p w:rsidR="004B107A" w:rsidRDefault="004B107A" w:rsidP="004B107A">
      <w:pPr>
        <w:pStyle w:val="BodyText"/>
      </w:pPr>
      <w:r>
        <w:t>This table has two parts, left and right, which summarize license and effective usage of assessments and courses.</w:t>
      </w:r>
    </w:p>
    <w:p w:rsidR="004B107A" w:rsidRDefault="004B107A" w:rsidP="004B107A">
      <w:pPr>
        <w:pStyle w:val="BodyText"/>
      </w:pPr>
      <w:r>
        <w:t>The left part shows how many participants used (started) assessments or language courses, how many of them completed the assessments or actively worked with the language courses, and the percentages of participants who did not complete their assessments or who did not use their courses actively.</w:t>
      </w:r>
    </w:p>
    <w:p w:rsidR="004B107A" w:rsidRDefault="004B107A" w:rsidP="004B107A">
      <w:pPr>
        <w:pStyle w:val="BodyText"/>
      </w:pPr>
      <w:r>
        <w:t>The right part shows percentages (intake) of language assessment 2 or language courses with respect to assessment 1.</w:t>
      </w:r>
    </w:p>
    <w:p w:rsidR="004B107A" w:rsidRDefault="004B107A" w:rsidP="004B107A">
      <w:pPr>
        <w:pStyle w:val="Caption"/>
        <w:keepNext/>
      </w:pPr>
      <w:r>
        <w:t xml:space="preserve">Table </w:t>
      </w:r>
      <w:fldSimple w:instr=" SEQ Table \* ARABIC ">
        <w:r>
          <w:rPr>
            <w:noProof/>
          </w:rPr>
          <w:t>1</w:t>
        </w:r>
      </w:fldSimple>
      <w:r>
        <w:t>. OLS effective usage: intake of language assessment 2 and courses</w:t>
      </w:r>
    </w:p>
    <w:tbl>
      <w:tblPr>
        <w:tblW w:w="0" w:type="auto"/>
        <w:tblCellMar>
          <w:left w:w="100" w:type="dxa"/>
          <w:right w:w="100" w:type="dxa"/>
        </w:tblCellMar>
        <w:tblLook w:val="0000" w:firstRow="0" w:lastRow="0" w:firstColumn="0" w:lastColumn="0" w:noHBand="0" w:noVBand="0"/>
      </w:tblPr>
      <w:tblGrid>
        <w:gridCol w:w="2838"/>
        <w:gridCol w:w="1196"/>
        <w:gridCol w:w="1196"/>
        <w:gridCol w:w="709"/>
        <w:gridCol w:w="206"/>
        <w:gridCol w:w="1196"/>
        <w:gridCol w:w="849"/>
      </w:tblGrid>
      <w:tr w:rsidR="004B107A" w:rsidRPr="004B107A" w:rsidTr="004B107A">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bookmarkStart w:id="5" w:name="Table5"/>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Assessment 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Assessment 2</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Course</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Intake of</w:t>
            </w:r>
            <w:r w:rsidRPr="004B107A">
              <w:rPr>
                <w:sz w:val="18"/>
              </w:rPr>
              <w:br/>
              <w:t>Assessment 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Intake of</w:t>
            </w:r>
            <w:r w:rsidRPr="004B107A">
              <w:rPr>
                <w:sz w:val="18"/>
              </w:rPr>
              <w:br/>
              <w:t>Courses</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Total</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3.102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1.350</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1.154</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43,5 %</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37,2 %</w:t>
            </w:r>
          </w:p>
        </w:tc>
      </w:tr>
      <w:tr w:rsidR="004B107A" w:rsidRPr="004B107A" w:rsidTr="004B107A">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Completed LAs/Activated LCs</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3.088</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1.341</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1.153</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43,4 %</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37,3 %</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 not Completed or Activated/Total</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0,5 %</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0,7 %</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0,1 %</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p>
        </w:tc>
        <w:tc>
          <w:tcPr>
            <w:tcW w:w="0" w:type="auto"/>
            <w:tcBorders>
              <w:top w:val="single" w:sz="4" w:space="0" w:color="auto"/>
            </w:tcBorders>
            <w:shd w:val="clear" w:color="auto" w:fill="auto"/>
            <w:vAlign w:val="center"/>
          </w:tcPr>
          <w:p w:rsidR="004B107A" w:rsidRPr="004B107A" w:rsidRDefault="004B107A" w:rsidP="004B107A">
            <w:pPr>
              <w:jc w:val="right"/>
              <w:rPr>
                <w:sz w:val="18"/>
              </w:rPr>
            </w:pPr>
          </w:p>
        </w:tc>
        <w:tc>
          <w:tcPr>
            <w:tcW w:w="0" w:type="auto"/>
            <w:tcBorders>
              <w:top w:val="single" w:sz="4" w:space="0" w:color="auto"/>
            </w:tcBorders>
            <w:shd w:val="clear" w:color="auto" w:fill="auto"/>
            <w:vAlign w:val="center"/>
          </w:tcPr>
          <w:p w:rsidR="004B107A" w:rsidRPr="004B107A" w:rsidRDefault="004B107A" w:rsidP="004B107A">
            <w:pPr>
              <w:jc w:val="right"/>
              <w:rPr>
                <w:sz w:val="18"/>
              </w:rPr>
            </w:pPr>
          </w:p>
        </w:tc>
      </w:tr>
      <w:bookmarkEnd w:id="5"/>
    </w:tbl>
    <w:p w:rsidR="004B107A" w:rsidRDefault="004B107A" w:rsidP="004B107A"/>
    <w:p w:rsidR="004B107A" w:rsidRDefault="004B107A" w:rsidP="004B107A">
      <w:pPr>
        <w:sectPr w:rsidR="004B107A" w:rsidSect="004B107A">
          <w:type w:val="continuous"/>
          <w:pgSz w:w="11907" w:h="16839" w:code="9"/>
          <w:pgMar w:top="1440" w:right="1440" w:bottom="1440" w:left="1440" w:header="709" w:footer="709" w:gutter="0"/>
          <w:cols w:space="708"/>
          <w:docGrid w:linePitch="360"/>
        </w:sectPr>
      </w:pPr>
    </w:p>
    <w:p w:rsidR="004B107A" w:rsidRDefault="004B107A" w:rsidP="004B107A">
      <w:pPr>
        <w:pStyle w:val="Heading2"/>
      </w:pPr>
      <w:bookmarkStart w:id="6" w:name="subsec____OLS_Usage_per_Month"/>
      <w:bookmarkStart w:id="7" w:name="_Toc476736699"/>
      <w:bookmarkEnd w:id="6"/>
      <w:r>
        <w:lastRenderedPageBreak/>
        <w:t>2. OLS Usage per Month</w:t>
      </w:r>
      <w:bookmarkEnd w:id="7"/>
    </w:p>
    <w:p w:rsidR="004B107A" w:rsidRDefault="004B107A" w:rsidP="004B107A">
      <w:pPr>
        <w:pStyle w:val="BodyText"/>
      </w:pPr>
      <w:r>
        <w:t>This table/graph gives an overview on how many language assessments and courses have been used per month.</w:t>
      </w:r>
    </w:p>
    <w:p w:rsidR="004B107A" w:rsidRDefault="004B107A" w:rsidP="004B107A">
      <w:pPr>
        <w:rPr>
          <w:i/>
        </w:rPr>
      </w:pPr>
      <w:r>
        <w:rPr>
          <w:i/>
        </w:rPr>
        <w:t>NB: numbers given in this table/figure correspond to the number of  participants who have started the OLS language assessments and/ or have accessed the OLS language courses.</w:t>
      </w:r>
    </w:p>
    <w:p w:rsidR="004B107A" w:rsidRDefault="004B107A" w:rsidP="004B107A">
      <w:pPr>
        <w:pStyle w:val="Caption"/>
        <w:keepNext/>
      </w:pPr>
      <w:r>
        <w:t xml:space="preserve">Table </w:t>
      </w:r>
      <w:fldSimple w:instr=" SEQ Table \* ARABIC ">
        <w:r>
          <w:rPr>
            <w:noProof/>
          </w:rPr>
          <w:t>2</w:t>
        </w:r>
      </w:fldSimple>
      <w:r>
        <w:t>. OLS usage per month</w:t>
      </w:r>
    </w:p>
    <w:tbl>
      <w:tblPr>
        <w:tblW w:w="0" w:type="auto"/>
        <w:tblCellMar>
          <w:left w:w="100" w:type="dxa"/>
          <w:right w:w="100" w:type="dxa"/>
        </w:tblCellMar>
        <w:tblLook w:val="0000" w:firstRow="0" w:lastRow="0" w:firstColumn="0" w:lastColumn="0" w:noHBand="0" w:noVBand="0"/>
      </w:tblPr>
      <w:tblGrid>
        <w:gridCol w:w="803"/>
        <w:gridCol w:w="1219"/>
        <w:gridCol w:w="1219"/>
        <w:gridCol w:w="1219"/>
        <w:gridCol w:w="1219"/>
        <w:gridCol w:w="730"/>
        <w:gridCol w:w="1029"/>
        <w:gridCol w:w="1777"/>
      </w:tblGrid>
      <w:tr w:rsidR="004B107A" w:rsidRPr="004B107A" w:rsidTr="004B107A">
        <w:tblPrEx>
          <w:tblCellMar>
            <w:top w:w="0" w:type="dxa"/>
            <w:bottom w:w="0" w:type="dxa"/>
          </w:tblCellMar>
        </w:tblPrEx>
        <w:tc>
          <w:tcPr>
            <w:tcW w:w="0" w:type="auto"/>
            <w:tcBorders>
              <w:bottom w:val="single" w:sz="4" w:space="0" w:color="auto"/>
            </w:tcBorders>
            <w:shd w:val="clear" w:color="auto" w:fill="auto"/>
            <w:vAlign w:val="center"/>
          </w:tcPr>
          <w:p w:rsidR="004B107A" w:rsidRPr="004B107A" w:rsidRDefault="004B107A" w:rsidP="004B107A">
            <w:pPr>
              <w:jc w:val="left"/>
              <w:rPr>
                <w:sz w:val="18"/>
              </w:rPr>
            </w:pPr>
            <w:bookmarkStart w:id="8" w:name="Table7"/>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Total</w:t>
            </w:r>
            <w:r w:rsidRPr="004B107A">
              <w:rPr>
                <w:sz w:val="18"/>
              </w:rPr>
              <w:br/>
              <w:t xml:space="preserve"> assessment 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Cumulative</w:t>
            </w:r>
            <w:r w:rsidRPr="004B107A">
              <w:rPr>
                <w:sz w:val="18"/>
              </w:rPr>
              <w:br/>
              <w:t xml:space="preserve"> assessment 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Total</w:t>
            </w:r>
            <w:r w:rsidRPr="004B107A">
              <w:rPr>
                <w:sz w:val="18"/>
              </w:rPr>
              <w:br/>
              <w:t xml:space="preserve"> assessment 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Cumulative</w:t>
            </w:r>
            <w:r w:rsidRPr="004B107A">
              <w:rPr>
                <w:sz w:val="18"/>
              </w:rPr>
              <w:br/>
              <w:t xml:space="preserve"> assessment 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Total</w:t>
            </w:r>
            <w:r w:rsidRPr="004B107A">
              <w:rPr>
                <w:sz w:val="18"/>
              </w:rPr>
              <w:br/>
              <w:t xml:space="preserve"> course</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Cumulative</w:t>
            </w:r>
            <w:r w:rsidRPr="004B107A">
              <w:rPr>
                <w:sz w:val="18"/>
              </w:rPr>
              <w:br/>
              <w:t xml:space="preserve"> course</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Cumulative intake</w:t>
            </w:r>
            <w:r w:rsidRPr="004B107A">
              <w:rPr>
                <w:sz w:val="18"/>
              </w:rPr>
              <w:br/>
              <w:t xml:space="preserve"> course/assessment 1</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2016-04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158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158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17,1%</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2016-05</w:t>
            </w:r>
          </w:p>
        </w:tc>
        <w:tc>
          <w:tcPr>
            <w:tcW w:w="0" w:type="auto"/>
            <w:shd w:val="clear" w:color="auto" w:fill="auto"/>
            <w:vAlign w:val="center"/>
          </w:tcPr>
          <w:p w:rsidR="004B107A" w:rsidRPr="004B107A" w:rsidRDefault="004B107A" w:rsidP="004B107A">
            <w:pPr>
              <w:jc w:val="right"/>
              <w:rPr>
                <w:sz w:val="18"/>
              </w:rPr>
            </w:pPr>
            <w:r w:rsidRPr="004B107A">
              <w:rPr>
                <w:sz w:val="18"/>
              </w:rPr>
              <w:t>157</w:t>
            </w:r>
          </w:p>
        </w:tc>
        <w:tc>
          <w:tcPr>
            <w:tcW w:w="0" w:type="auto"/>
            <w:shd w:val="clear" w:color="auto" w:fill="auto"/>
            <w:vAlign w:val="center"/>
          </w:tcPr>
          <w:p w:rsidR="004B107A" w:rsidRPr="004B107A" w:rsidRDefault="004B107A" w:rsidP="004B107A">
            <w:pPr>
              <w:jc w:val="right"/>
              <w:rPr>
                <w:sz w:val="18"/>
              </w:rPr>
            </w:pPr>
            <w:r w:rsidRPr="004B107A">
              <w:rPr>
                <w:sz w:val="18"/>
              </w:rPr>
              <w:t>315</w:t>
            </w:r>
          </w:p>
        </w:tc>
        <w:tc>
          <w:tcPr>
            <w:tcW w:w="0" w:type="auto"/>
            <w:shd w:val="clear" w:color="auto" w:fill="auto"/>
            <w:vAlign w:val="center"/>
          </w:tcPr>
          <w:p w:rsidR="004B107A" w:rsidRPr="004B107A" w:rsidRDefault="004B107A" w:rsidP="004B107A">
            <w:pPr>
              <w:jc w:val="right"/>
              <w:rPr>
                <w:sz w:val="18"/>
              </w:rPr>
            </w:pPr>
            <w:r w:rsidRPr="004B107A">
              <w:rPr>
                <w:sz w:val="18"/>
              </w:rPr>
              <w:t>0</w:t>
            </w:r>
          </w:p>
        </w:tc>
        <w:tc>
          <w:tcPr>
            <w:tcW w:w="0" w:type="auto"/>
            <w:shd w:val="clear" w:color="auto" w:fill="auto"/>
            <w:vAlign w:val="center"/>
          </w:tcPr>
          <w:p w:rsidR="004B107A" w:rsidRPr="004B107A" w:rsidRDefault="004B107A" w:rsidP="004B107A">
            <w:pPr>
              <w:jc w:val="right"/>
              <w:rPr>
                <w:sz w:val="18"/>
              </w:rPr>
            </w:pPr>
            <w:r w:rsidRPr="004B107A">
              <w:rPr>
                <w:sz w:val="18"/>
              </w:rPr>
              <w:t>0</w:t>
            </w:r>
          </w:p>
        </w:tc>
        <w:tc>
          <w:tcPr>
            <w:tcW w:w="0" w:type="auto"/>
            <w:shd w:val="clear" w:color="auto" w:fill="auto"/>
            <w:vAlign w:val="center"/>
          </w:tcPr>
          <w:p w:rsidR="004B107A" w:rsidRPr="004B107A" w:rsidRDefault="004B107A" w:rsidP="004B107A">
            <w:pPr>
              <w:jc w:val="right"/>
              <w:rPr>
                <w:sz w:val="18"/>
              </w:rPr>
            </w:pPr>
            <w:r w:rsidRPr="004B107A">
              <w:rPr>
                <w:sz w:val="18"/>
              </w:rPr>
              <w:t>53</w:t>
            </w:r>
          </w:p>
        </w:tc>
        <w:tc>
          <w:tcPr>
            <w:tcW w:w="0" w:type="auto"/>
            <w:shd w:val="clear" w:color="auto" w:fill="auto"/>
            <w:vAlign w:val="center"/>
          </w:tcPr>
          <w:p w:rsidR="004B107A" w:rsidRPr="004B107A" w:rsidRDefault="004B107A" w:rsidP="004B107A">
            <w:pPr>
              <w:jc w:val="right"/>
              <w:rPr>
                <w:sz w:val="18"/>
              </w:rPr>
            </w:pPr>
            <w:r w:rsidRPr="004B107A">
              <w:rPr>
                <w:sz w:val="18"/>
              </w:rPr>
              <w:t>80</w:t>
            </w:r>
          </w:p>
        </w:tc>
        <w:tc>
          <w:tcPr>
            <w:tcW w:w="0" w:type="auto"/>
            <w:shd w:val="clear" w:color="auto" w:fill="auto"/>
            <w:vAlign w:val="center"/>
          </w:tcPr>
          <w:p w:rsidR="004B107A" w:rsidRPr="004B107A" w:rsidRDefault="004B107A" w:rsidP="004B107A">
            <w:pPr>
              <w:jc w:val="right"/>
              <w:rPr>
                <w:sz w:val="18"/>
              </w:rPr>
            </w:pPr>
            <w:r w:rsidRPr="004B107A">
              <w:rPr>
                <w:sz w:val="18"/>
              </w:rPr>
              <w:t>25,4%</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2016-06</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530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845</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87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167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19,8%</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2016-07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809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1.654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206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373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22,6%</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2016-08</w:t>
            </w:r>
          </w:p>
        </w:tc>
        <w:tc>
          <w:tcPr>
            <w:tcW w:w="0" w:type="auto"/>
            <w:shd w:val="clear" w:color="auto" w:fill="auto"/>
            <w:vAlign w:val="center"/>
          </w:tcPr>
          <w:p w:rsidR="004B107A" w:rsidRPr="004B107A" w:rsidRDefault="004B107A" w:rsidP="004B107A">
            <w:pPr>
              <w:jc w:val="right"/>
              <w:rPr>
                <w:sz w:val="18"/>
              </w:rPr>
            </w:pPr>
            <w:r w:rsidRPr="004B107A">
              <w:rPr>
                <w:sz w:val="18"/>
              </w:rPr>
              <w:t>237</w:t>
            </w:r>
          </w:p>
        </w:tc>
        <w:tc>
          <w:tcPr>
            <w:tcW w:w="0" w:type="auto"/>
            <w:shd w:val="clear" w:color="auto" w:fill="auto"/>
            <w:vAlign w:val="center"/>
          </w:tcPr>
          <w:p w:rsidR="004B107A" w:rsidRPr="004B107A" w:rsidRDefault="004B107A" w:rsidP="004B107A">
            <w:pPr>
              <w:jc w:val="right"/>
              <w:rPr>
                <w:sz w:val="18"/>
              </w:rPr>
            </w:pPr>
            <w:r w:rsidRPr="004B107A">
              <w:rPr>
                <w:sz w:val="18"/>
              </w:rPr>
              <w:t>1.891</w:t>
            </w:r>
          </w:p>
        </w:tc>
        <w:tc>
          <w:tcPr>
            <w:tcW w:w="0" w:type="auto"/>
            <w:shd w:val="clear" w:color="auto" w:fill="auto"/>
            <w:vAlign w:val="center"/>
          </w:tcPr>
          <w:p w:rsidR="004B107A" w:rsidRPr="004B107A" w:rsidRDefault="004B107A" w:rsidP="004B107A">
            <w:pPr>
              <w:jc w:val="right"/>
              <w:rPr>
                <w:sz w:val="18"/>
              </w:rPr>
            </w:pPr>
            <w:r w:rsidRPr="004B107A">
              <w:rPr>
                <w:sz w:val="18"/>
              </w:rPr>
              <w:t>3</w:t>
            </w:r>
          </w:p>
        </w:tc>
        <w:tc>
          <w:tcPr>
            <w:tcW w:w="0" w:type="auto"/>
            <w:shd w:val="clear" w:color="auto" w:fill="auto"/>
            <w:vAlign w:val="center"/>
          </w:tcPr>
          <w:p w:rsidR="004B107A" w:rsidRPr="004B107A" w:rsidRDefault="004B107A" w:rsidP="004B107A">
            <w:pPr>
              <w:jc w:val="right"/>
              <w:rPr>
                <w:sz w:val="18"/>
              </w:rPr>
            </w:pPr>
            <w:r w:rsidRPr="004B107A">
              <w:rPr>
                <w:sz w:val="18"/>
              </w:rPr>
              <w:t>5</w:t>
            </w:r>
          </w:p>
        </w:tc>
        <w:tc>
          <w:tcPr>
            <w:tcW w:w="0" w:type="auto"/>
            <w:shd w:val="clear" w:color="auto" w:fill="auto"/>
            <w:vAlign w:val="center"/>
          </w:tcPr>
          <w:p w:rsidR="004B107A" w:rsidRPr="004B107A" w:rsidRDefault="004B107A" w:rsidP="004B107A">
            <w:pPr>
              <w:jc w:val="right"/>
              <w:rPr>
                <w:sz w:val="18"/>
              </w:rPr>
            </w:pPr>
            <w:r w:rsidRPr="004B107A">
              <w:rPr>
                <w:sz w:val="18"/>
              </w:rPr>
              <w:t>219</w:t>
            </w:r>
          </w:p>
        </w:tc>
        <w:tc>
          <w:tcPr>
            <w:tcW w:w="0" w:type="auto"/>
            <w:shd w:val="clear" w:color="auto" w:fill="auto"/>
            <w:vAlign w:val="center"/>
          </w:tcPr>
          <w:p w:rsidR="004B107A" w:rsidRPr="004B107A" w:rsidRDefault="004B107A" w:rsidP="004B107A">
            <w:pPr>
              <w:jc w:val="right"/>
              <w:rPr>
                <w:sz w:val="18"/>
              </w:rPr>
            </w:pPr>
            <w:r w:rsidRPr="004B107A">
              <w:rPr>
                <w:sz w:val="18"/>
              </w:rPr>
              <w:t>592</w:t>
            </w:r>
          </w:p>
        </w:tc>
        <w:tc>
          <w:tcPr>
            <w:tcW w:w="0" w:type="auto"/>
            <w:shd w:val="clear" w:color="auto" w:fill="auto"/>
            <w:vAlign w:val="center"/>
          </w:tcPr>
          <w:p w:rsidR="004B107A" w:rsidRPr="004B107A" w:rsidRDefault="004B107A" w:rsidP="004B107A">
            <w:pPr>
              <w:jc w:val="right"/>
              <w:rPr>
                <w:sz w:val="18"/>
              </w:rPr>
            </w:pPr>
            <w:r w:rsidRPr="004B107A">
              <w:rPr>
                <w:sz w:val="18"/>
              </w:rPr>
              <w:t>31,3%</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2016-09</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105</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1.996</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8</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13</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67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659</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33,0%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2016-10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423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2.419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140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799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33,0%</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2016-11</w:t>
            </w:r>
          </w:p>
        </w:tc>
        <w:tc>
          <w:tcPr>
            <w:tcW w:w="0" w:type="auto"/>
            <w:shd w:val="clear" w:color="auto" w:fill="auto"/>
            <w:vAlign w:val="center"/>
          </w:tcPr>
          <w:p w:rsidR="004B107A" w:rsidRPr="004B107A" w:rsidRDefault="004B107A" w:rsidP="004B107A">
            <w:pPr>
              <w:jc w:val="right"/>
              <w:rPr>
                <w:sz w:val="18"/>
              </w:rPr>
            </w:pPr>
            <w:r w:rsidRPr="004B107A">
              <w:rPr>
                <w:sz w:val="18"/>
              </w:rPr>
              <w:t>231</w:t>
            </w:r>
          </w:p>
        </w:tc>
        <w:tc>
          <w:tcPr>
            <w:tcW w:w="0" w:type="auto"/>
            <w:shd w:val="clear" w:color="auto" w:fill="auto"/>
            <w:vAlign w:val="center"/>
          </w:tcPr>
          <w:p w:rsidR="004B107A" w:rsidRPr="004B107A" w:rsidRDefault="004B107A" w:rsidP="004B107A">
            <w:pPr>
              <w:jc w:val="right"/>
              <w:rPr>
                <w:sz w:val="18"/>
              </w:rPr>
            </w:pPr>
            <w:r w:rsidRPr="004B107A">
              <w:rPr>
                <w:sz w:val="18"/>
              </w:rPr>
              <w:t>2.650</w:t>
            </w:r>
          </w:p>
        </w:tc>
        <w:tc>
          <w:tcPr>
            <w:tcW w:w="0" w:type="auto"/>
            <w:shd w:val="clear" w:color="auto" w:fill="auto"/>
            <w:vAlign w:val="center"/>
          </w:tcPr>
          <w:p w:rsidR="004B107A" w:rsidRPr="004B107A" w:rsidRDefault="004B107A" w:rsidP="004B107A">
            <w:pPr>
              <w:jc w:val="right"/>
              <w:rPr>
                <w:sz w:val="18"/>
              </w:rPr>
            </w:pPr>
            <w:r w:rsidRPr="004B107A">
              <w:rPr>
                <w:sz w:val="18"/>
              </w:rPr>
              <w:t>6</w:t>
            </w:r>
          </w:p>
        </w:tc>
        <w:tc>
          <w:tcPr>
            <w:tcW w:w="0" w:type="auto"/>
            <w:shd w:val="clear" w:color="auto" w:fill="auto"/>
            <w:vAlign w:val="center"/>
          </w:tcPr>
          <w:p w:rsidR="004B107A" w:rsidRPr="004B107A" w:rsidRDefault="004B107A" w:rsidP="004B107A">
            <w:pPr>
              <w:jc w:val="right"/>
              <w:rPr>
                <w:sz w:val="18"/>
              </w:rPr>
            </w:pPr>
            <w:r w:rsidRPr="004B107A">
              <w:rPr>
                <w:sz w:val="18"/>
              </w:rPr>
              <w:t>27</w:t>
            </w:r>
          </w:p>
        </w:tc>
        <w:tc>
          <w:tcPr>
            <w:tcW w:w="0" w:type="auto"/>
            <w:shd w:val="clear" w:color="auto" w:fill="auto"/>
            <w:vAlign w:val="center"/>
          </w:tcPr>
          <w:p w:rsidR="004B107A" w:rsidRPr="004B107A" w:rsidRDefault="004B107A" w:rsidP="004B107A">
            <w:pPr>
              <w:jc w:val="right"/>
              <w:rPr>
                <w:sz w:val="18"/>
              </w:rPr>
            </w:pPr>
            <w:r w:rsidRPr="004B107A">
              <w:rPr>
                <w:sz w:val="18"/>
              </w:rPr>
              <w:t>158</w:t>
            </w:r>
          </w:p>
        </w:tc>
        <w:tc>
          <w:tcPr>
            <w:tcW w:w="0" w:type="auto"/>
            <w:shd w:val="clear" w:color="auto" w:fill="auto"/>
            <w:vAlign w:val="center"/>
          </w:tcPr>
          <w:p w:rsidR="004B107A" w:rsidRPr="004B107A" w:rsidRDefault="004B107A" w:rsidP="004B107A">
            <w:pPr>
              <w:jc w:val="right"/>
              <w:rPr>
                <w:sz w:val="18"/>
              </w:rPr>
            </w:pPr>
            <w:r w:rsidRPr="004B107A">
              <w:rPr>
                <w:sz w:val="18"/>
              </w:rPr>
              <w:t>957</w:t>
            </w:r>
          </w:p>
        </w:tc>
        <w:tc>
          <w:tcPr>
            <w:tcW w:w="0" w:type="auto"/>
            <w:shd w:val="clear" w:color="auto" w:fill="auto"/>
            <w:vAlign w:val="center"/>
          </w:tcPr>
          <w:p w:rsidR="004B107A" w:rsidRPr="004B107A" w:rsidRDefault="004B107A" w:rsidP="004B107A">
            <w:pPr>
              <w:jc w:val="right"/>
              <w:rPr>
                <w:sz w:val="18"/>
              </w:rPr>
            </w:pPr>
            <w:r w:rsidRPr="004B107A">
              <w:rPr>
                <w:sz w:val="18"/>
              </w:rPr>
              <w:t>36,1%</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2016-12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187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2.837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318</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345</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81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1.038</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36,6%</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2017-01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188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3.025</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552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897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72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1.110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36,7%</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2017-02</w:t>
            </w:r>
          </w:p>
        </w:tc>
        <w:tc>
          <w:tcPr>
            <w:tcW w:w="0" w:type="auto"/>
            <w:shd w:val="clear" w:color="auto" w:fill="auto"/>
            <w:vAlign w:val="center"/>
          </w:tcPr>
          <w:p w:rsidR="004B107A" w:rsidRPr="004B107A" w:rsidRDefault="004B107A" w:rsidP="004B107A">
            <w:pPr>
              <w:jc w:val="right"/>
              <w:rPr>
                <w:sz w:val="18"/>
              </w:rPr>
            </w:pPr>
            <w:r w:rsidRPr="004B107A">
              <w:rPr>
                <w:sz w:val="18"/>
              </w:rPr>
              <w:t>77</w:t>
            </w:r>
          </w:p>
        </w:tc>
        <w:tc>
          <w:tcPr>
            <w:tcW w:w="0" w:type="auto"/>
            <w:shd w:val="clear" w:color="auto" w:fill="auto"/>
            <w:vAlign w:val="center"/>
          </w:tcPr>
          <w:p w:rsidR="004B107A" w:rsidRPr="004B107A" w:rsidRDefault="004B107A" w:rsidP="004B107A">
            <w:pPr>
              <w:jc w:val="right"/>
              <w:rPr>
                <w:sz w:val="18"/>
              </w:rPr>
            </w:pPr>
            <w:r w:rsidRPr="004B107A">
              <w:rPr>
                <w:sz w:val="18"/>
              </w:rPr>
              <w:t>3.102</w:t>
            </w:r>
          </w:p>
        </w:tc>
        <w:tc>
          <w:tcPr>
            <w:tcW w:w="0" w:type="auto"/>
            <w:shd w:val="clear" w:color="auto" w:fill="auto"/>
            <w:vAlign w:val="center"/>
          </w:tcPr>
          <w:p w:rsidR="004B107A" w:rsidRPr="004B107A" w:rsidRDefault="004B107A" w:rsidP="004B107A">
            <w:pPr>
              <w:jc w:val="right"/>
              <w:rPr>
                <w:sz w:val="18"/>
              </w:rPr>
            </w:pPr>
            <w:r w:rsidRPr="004B107A">
              <w:rPr>
                <w:sz w:val="18"/>
              </w:rPr>
              <w:t>453</w:t>
            </w:r>
          </w:p>
        </w:tc>
        <w:tc>
          <w:tcPr>
            <w:tcW w:w="0" w:type="auto"/>
            <w:shd w:val="clear" w:color="auto" w:fill="auto"/>
            <w:vAlign w:val="center"/>
          </w:tcPr>
          <w:p w:rsidR="004B107A" w:rsidRPr="004B107A" w:rsidRDefault="004B107A" w:rsidP="004B107A">
            <w:pPr>
              <w:jc w:val="right"/>
              <w:rPr>
                <w:sz w:val="18"/>
              </w:rPr>
            </w:pPr>
            <w:r w:rsidRPr="004B107A">
              <w:rPr>
                <w:sz w:val="18"/>
              </w:rPr>
              <w:t>1.350</w:t>
            </w:r>
          </w:p>
        </w:tc>
        <w:tc>
          <w:tcPr>
            <w:tcW w:w="0" w:type="auto"/>
            <w:shd w:val="clear" w:color="auto" w:fill="auto"/>
            <w:vAlign w:val="center"/>
          </w:tcPr>
          <w:p w:rsidR="004B107A" w:rsidRPr="004B107A" w:rsidRDefault="004B107A" w:rsidP="004B107A">
            <w:pPr>
              <w:jc w:val="right"/>
              <w:rPr>
                <w:sz w:val="18"/>
              </w:rPr>
            </w:pPr>
            <w:r w:rsidRPr="004B107A">
              <w:rPr>
                <w:sz w:val="18"/>
              </w:rPr>
              <w:t>44</w:t>
            </w:r>
          </w:p>
        </w:tc>
        <w:tc>
          <w:tcPr>
            <w:tcW w:w="0" w:type="auto"/>
            <w:shd w:val="clear" w:color="auto" w:fill="auto"/>
            <w:vAlign w:val="center"/>
          </w:tcPr>
          <w:p w:rsidR="004B107A" w:rsidRPr="004B107A" w:rsidRDefault="004B107A" w:rsidP="004B107A">
            <w:pPr>
              <w:jc w:val="right"/>
              <w:rPr>
                <w:sz w:val="18"/>
              </w:rPr>
            </w:pPr>
            <w:r w:rsidRPr="004B107A">
              <w:rPr>
                <w:sz w:val="18"/>
              </w:rPr>
              <w:t>1.154</w:t>
            </w:r>
          </w:p>
        </w:tc>
        <w:tc>
          <w:tcPr>
            <w:tcW w:w="0" w:type="auto"/>
            <w:shd w:val="clear" w:color="auto" w:fill="auto"/>
            <w:vAlign w:val="center"/>
          </w:tcPr>
          <w:p w:rsidR="004B107A" w:rsidRPr="004B107A" w:rsidRDefault="004B107A" w:rsidP="004B107A">
            <w:pPr>
              <w:jc w:val="right"/>
              <w:rPr>
                <w:sz w:val="18"/>
              </w:rPr>
            </w:pPr>
            <w:r w:rsidRPr="004B107A">
              <w:rPr>
                <w:sz w:val="18"/>
              </w:rPr>
              <w:t>37,2%</w:t>
            </w:r>
          </w:p>
        </w:tc>
      </w:tr>
      <w:bookmarkEnd w:id="8"/>
    </w:tbl>
    <w:p w:rsidR="004B107A" w:rsidRDefault="004B107A" w:rsidP="004B107A">
      <w:pPr>
        <w:rPr>
          <w:i/>
        </w:rPr>
      </w:pPr>
    </w:p>
    <w:p w:rsidR="004B107A" w:rsidRDefault="004B107A" w:rsidP="004B107A">
      <w:pPr>
        <w:pStyle w:val="Caption"/>
        <w:keepNext/>
      </w:pPr>
      <w:r>
        <w:t xml:space="preserve">Figure </w:t>
      </w:r>
      <w:fldSimple w:instr=" SEQ Figure \* ARABIC ">
        <w:r>
          <w:rPr>
            <w:noProof/>
          </w:rPr>
          <w:t>1</w:t>
        </w:r>
      </w:fldSimple>
      <w:r>
        <w:t>. OLS usage per month</w:t>
      </w:r>
      <w:bookmarkStart w:id="9" w:name="InlineShape2"/>
      <w:bookmarkEnd w:id="9"/>
    </w:p>
    <w:p w:rsidR="004B107A" w:rsidRDefault="004B107A" w:rsidP="004B107A">
      <w:pPr>
        <w:rPr>
          <w:i/>
        </w:rPr>
      </w:pPr>
      <w:r>
        <w:rPr>
          <w:i/>
          <w:noProof/>
        </w:rPr>
        <w:drawing>
          <wp:inline distT="0" distB="0" distL="0" distR="0" wp14:anchorId="21E48427" wp14:editId="56AEA3AF">
            <wp:extent cx="45720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971800"/>
                    </a:xfrm>
                    <a:prstGeom prst="rect">
                      <a:avLst/>
                    </a:prstGeom>
                    <a:noFill/>
                    <a:ln>
                      <a:noFill/>
                    </a:ln>
                  </pic:spPr>
                </pic:pic>
              </a:graphicData>
            </a:graphic>
          </wp:inline>
        </w:drawing>
      </w:r>
    </w:p>
    <w:p w:rsidR="004B107A" w:rsidRDefault="004B107A" w:rsidP="004B107A">
      <w:pPr>
        <w:rPr>
          <w:i/>
        </w:rPr>
      </w:pPr>
      <w:r>
        <w:rPr>
          <w:i/>
        </w:rPr>
        <w:t>NB: numbers are indicated only for the peaks of the OLS usage curves</w:t>
      </w:r>
    </w:p>
    <w:p w:rsidR="004B107A" w:rsidRDefault="004B107A" w:rsidP="004B107A">
      <w:pPr>
        <w:rPr>
          <w:i/>
        </w:rPr>
        <w:sectPr w:rsidR="004B107A" w:rsidSect="004B107A">
          <w:pgSz w:w="11907" w:h="16839" w:code="9"/>
          <w:pgMar w:top="1440" w:right="1440" w:bottom="1440" w:left="1440" w:header="709" w:footer="709" w:gutter="0"/>
          <w:cols w:space="708"/>
          <w:docGrid w:linePitch="360"/>
        </w:sectPr>
      </w:pPr>
    </w:p>
    <w:p w:rsidR="004B107A" w:rsidRDefault="004B107A" w:rsidP="004B107A">
      <w:pPr>
        <w:pStyle w:val="Heading2"/>
      </w:pPr>
      <w:bookmarkStart w:id="10" w:name="subsec____Total_OLS_Usage_per_Language"/>
      <w:bookmarkStart w:id="11" w:name="_Toc476736700"/>
      <w:bookmarkEnd w:id="10"/>
      <w:r>
        <w:lastRenderedPageBreak/>
        <w:t>3. Total OLS Usage per Language</w:t>
      </w:r>
      <w:bookmarkEnd w:id="11"/>
    </w:p>
    <w:p w:rsidR="004B107A" w:rsidRDefault="004B107A" w:rsidP="004B107A">
      <w:pPr>
        <w:pStyle w:val="BodyText"/>
      </w:pPr>
      <w:r>
        <w:t>This table gives on overview of how many language assessments and courses have been started per language, as well as an indication of the course intake per language.</w:t>
      </w:r>
    </w:p>
    <w:p w:rsidR="004B107A" w:rsidRDefault="004B107A" w:rsidP="004B107A">
      <w:pPr>
        <w:pStyle w:val="Caption"/>
        <w:keepNext/>
      </w:pPr>
      <w:r>
        <w:t xml:space="preserve">Table </w:t>
      </w:r>
      <w:fldSimple w:instr=" SEQ Table \* ARABIC ">
        <w:r>
          <w:rPr>
            <w:noProof/>
          </w:rPr>
          <w:t>3</w:t>
        </w:r>
      </w:fldSimple>
      <w:r>
        <w:t>. Total OLS usage per language. OT stands for the other six languages started in April 2016.</w:t>
      </w:r>
    </w:p>
    <w:tbl>
      <w:tblPr>
        <w:tblW w:w="0" w:type="auto"/>
        <w:tblCellMar>
          <w:left w:w="100" w:type="dxa"/>
          <w:right w:w="100" w:type="dxa"/>
        </w:tblCellMar>
        <w:tblLook w:val="0000" w:firstRow="0" w:lastRow="0" w:firstColumn="0" w:lastColumn="0" w:noHBand="0" w:noVBand="0"/>
      </w:tblPr>
      <w:tblGrid>
        <w:gridCol w:w="544"/>
        <w:gridCol w:w="1196"/>
        <w:gridCol w:w="709"/>
        <w:gridCol w:w="1203"/>
      </w:tblGrid>
      <w:tr w:rsidR="004B107A" w:rsidRPr="004B107A" w:rsidTr="004B107A">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bookmarkStart w:id="12" w:name="Table10"/>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Assessment 1</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Course</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Course intake</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DE</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219</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89</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41 %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EN</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1.884</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517</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27 %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ES</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661</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352</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53 %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FR</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12</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5</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42 %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IT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203</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120</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59 %</w:t>
            </w:r>
          </w:p>
        </w:tc>
      </w:tr>
      <w:tr w:rsidR="004B107A" w:rsidRPr="004B107A" w:rsidTr="004B107A">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NL</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80</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26</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32 %</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CS</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100 %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DA</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4</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3</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75 %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EL</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3</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33 %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PL</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2</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200 %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PT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33</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30</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91 %</w:t>
            </w:r>
          </w:p>
        </w:tc>
      </w:tr>
      <w:tr w:rsidR="004B107A" w:rsidRPr="004B107A" w:rsidTr="004B107A">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SV</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8</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800 %</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total</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3.102</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1.154</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37 %</w:t>
            </w:r>
          </w:p>
        </w:tc>
      </w:tr>
      <w:bookmarkEnd w:id="12"/>
    </w:tbl>
    <w:p w:rsidR="004B107A" w:rsidRDefault="004B107A" w:rsidP="004B107A"/>
    <w:p w:rsidR="004B107A" w:rsidRDefault="004B107A" w:rsidP="004B107A">
      <w:pPr>
        <w:pStyle w:val="BodyText"/>
      </w:pPr>
      <w:r>
        <w:t xml:space="preserve">This figures shows the language distribution for the language assessment 1 and for the language courses. If present, the label OT summarizes the share of the 6 languages introduced with the Call 2016 (Czech, Danish, Greek, Polish, Portuguese, Swedish). </w:t>
      </w:r>
    </w:p>
    <w:p w:rsidR="004B107A" w:rsidRDefault="004B107A" w:rsidP="004B107A">
      <w:pPr>
        <w:pStyle w:val="Caption"/>
        <w:keepNext/>
      </w:pPr>
      <w:r>
        <w:t xml:space="preserve">Figure </w:t>
      </w:r>
      <w:fldSimple w:instr=" SEQ Figure \* ARABIC ">
        <w:r>
          <w:rPr>
            <w:noProof/>
          </w:rPr>
          <w:t>2</w:t>
        </w:r>
      </w:fldSimple>
      <w:r>
        <w:t>. OLS usage for assessment 1 by language (left) and OLS usage for courses per language (right). The category OT stands for the other six languages started in April 2016.</w:t>
      </w:r>
      <w:bookmarkStart w:id="13" w:name="InlineShape3"/>
      <w:bookmarkEnd w:id="13"/>
    </w:p>
    <w:p w:rsidR="004B107A" w:rsidRDefault="004B107A" w:rsidP="004B107A">
      <w:pPr>
        <w:pStyle w:val="BodyText"/>
      </w:pPr>
      <w:r>
        <w:rPr>
          <w:noProof/>
        </w:rPr>
        <w:drawing>
          <wp:inline distT="0" distB="0" distL="0" distR="0" wp14:anchorId="0EC2D00B" wp14:editId="62B3DCE2">
            <wp:extent cx="5732145" cy="28660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2866073"/>
                    </a:xfrm>
                    <a:prstGeom prst="rect">
                      <a:avLst/>
                    </a:prstGeom>
                    <a:noFill/>
                    <a:ln>
                      <a:noFill/>
                    </a:ln>
                  </pic:spPr>
                </pic:pic>
              </a:graphicData>
            </a:graphic>
          </wp:inline>
        </w:drawing>
      </w:r>
      <w:r>
        <w:t>The following table gives the detail of OLS language use by destination country (assessment 1 only).</w:t>
      </w:r>
    </w:p>
    <w:p w:rsidR="004B107A" w:rsidRDefault="004B107A" w:rsidP="004B107A">
      <w:pPr>
        <w:pStyle w:val="BodyText"/>
      </w:pPr>
    </w:p>
    <w:p w:rsidR="004B107A" w:rsidRDefault="004B107A" w:rsidP="004B107A">
      <w:pPr>
        <w:pStyle w:val="BodyText"/>
      </w:pPr>
    </w:p>
    <w:p w:rsidR="004B107A" w:rsidRDefault="004B107A">
      <w:pPr>
        <w:jc w:val="left"/>
      </w:pPr>
      <w:r>
        <w:br w:type="page"/>
      </w:r>
    </w:p>
    <w:p w:rsidR="004B107A" w:rsidRDefault="004B107A" w:rsidP="004B107A">
      <w:pPr>
        <w:pStyle w:val="Caption"/>
        <w:keepNext/>
      </w:pPr>
      <w:r>
        <w:lastRenderedPageBreak/>
        <w:t xml:space="preserve">Table </w:t>
      </w:r>
      <w:fldSimple w:instr=" SEQ Table \* ARABIC ">
        <w:r>
          <w:rPr>
            <w:noProof/>
          </w:rPr>
          <w:t>4</w:t>
        </w:r>
      </w:fldSimple>
      <w:r>
        <w:t>. OLS usage per language by destination country (language assessment 1). Only values of at least 1% are shown.</w:t>
      </w:r>
    </w:p>
    <w:tbl>
      <w:tblPr>
        <w:tblW w:w="0" w:type="auto"/>
        <w:tblCellMar>
          <w:left w:w="100" w:type="dxa"/>
          <w:right w:w="100" w:type="dxa"/>
        </w:tblCellMar>
        <w:tblLook w:val="0000" w:firstRow="0" w:lastRow="0" w:firstColumn="0" w:lastColumn="0" w:noHBand="0" w:noVBand="0"/>
      </w:tblPr>
      <w:tblGrid>
        <w:gridCol w:w="603"/>
        <w:gridCol w:w="571"/>
        <w:gridCol w:w="552"/>
        <w:gridCol w:w="603"/>
        <w:gridCol w:w="552"/>
        <w:gridCol w:w="552"/>
        <w:gridCol w:w="552"/>
        <w:gridCol w:w="552"/>
        <w:gridCol w:w="502"/>
        <w:gridCol w:w="502"/>
        <w:gridCol w:w="552"/>
        <w:gridCol w:w="502"/>
        <w:gridCol w:w="552"/>
        <w:gridCol w:w="502"/>
      </w:tblGrid>
      <w:tr w:rsidR="004B107A" w:rsidRPr="004B107A" w:rsidTr="004B107A">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bookmarkStart w:id="14" w:name="Table12"/>
          </w:p>
        </w:tc>
        <w:tc>
          <w:tcPr>
            <w:tcW w:w="0" w:type="auto"/>
            <w:tcBorders>
              <w:left w:val="single" w:sz="4" w:space="0" w:color="auto"/>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LA</w:t>
            </w:r>
            <w:r w:rsidRPr="004B107A">
              <w:rPr>
                <w:sz w:val="18"/>
              </w:rPr>
              <w:br/>
              <w:t>Total</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br/>
              <w:t>DE</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br/>
              <w:t>EN</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br/>
              <w:t>ES</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br/>
              <w:t>FR</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br/>
              <w:t>IT</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br/>
              <w:t>NL</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br/>
              <w:t>CS</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br/>
              <w:t>DA</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br/>
              <w:t>EL</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br/>
              <w:t>PL</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br/>
              <w:t>PT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br/>
              <w:t>SV</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BE</w:t>
            </w:r>
          </w:p>
        </w:tc>
        <w:tc>
          <w:tcPr>
            <w:tcW w:w="0" w:type="auto"/>
            <w:tcBorders>
              <w:top w:val="single" w:sz="4" w:space="0" w:color="auto"/>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52</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27%</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BG</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20</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100%</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CZ</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66</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98%</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DK</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64</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94%</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6%</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DE</w:t>
            </w:r>
          </w:p>
        </w:tc>
        <w:tc>
          <w:tcPr>
            <w:tcW w:w="0" w:type="auto"/>
            <w:tcBorders>
              <w:left w:val="single" w:sz="4" w:space="0" w:color="auto"/>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253</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69%</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EE</w:t>
            </w:r>
          </w:p>
        </w:tc>
        <w:tc>
          <w:tcPr>
            <w:tcW w:w="0" w:type="auto"/>
            <w:tcBorders>
              <w:top w:val="single" w:sz="4" w:space="0" w:color="auto"/>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25</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IE</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96</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100%</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EL</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17</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82%</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18%</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ES</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733</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12%</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88%</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FR</w:t>
            </w:r>
          </w:p>
        </w:tc>
        <w:tc>
          <w:tcPr>
            <w:tcW w:w="0" w:type="auto"/>
            <w:tcBorders>
              <w:left w:val="single" w:sz="4" w:space="0" w:color="auto"/>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63</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87%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13%</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HR</w:t>
            </w:r>
          </w:p>
        </w:tc>
        <w:tc>
          <w:tcPr>
            <w:tcW w:w="0" w:type="auto"/>
            <w:tcBorders>
              <w:top w:val="single" w:sz="4" w:space="0" w:color="auto"/>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14</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IT</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290</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31%</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69%</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CY</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31</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94%</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3%</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3%</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LV</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17</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100%</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LT</w:t>
            </w:r>
          </w:p>
        </w:tc>
        <w:tc>
          <w:tcPr>
            <w:tcW w:w="0" w:type="auto"/>
            <w:tcBorders>
              <w:left w:val="single" w:sz="4" w:space="0" w:color="auto"/>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32</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LU</w:t>
            </w:r>
          </w:p>
        </w:tc>
        <w:tc>
          <w:tcPr>
            <w:tcW w:w="0" w:type="auto"/>
            <w:tcBorders>
              <w:top w:val="single" w:sz="4" w:space="0" w:color="auto"/>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83</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98%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HU</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52</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100%</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MT</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31</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100%</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NL</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201</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69%</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31%</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AT</w:t>
            </w:r>
          </w:p>
        </w:tc>
        <w:tc>
          <w:tcPr>
            <w:tcW w:w="0" w:type="auto"/>
            <w:tcBorders>
              <w:left w:val="single" w:sz="4" w:space="0" w:color="auto"/>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63</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56%</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44%</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PL</w:t>
            </w:r>
          </w:p>
        </w:tc>
        <w:tc>
          <w:tcPr>
            <w:tcW w:w="0" w:type="auto"/>
            <w:tcBorders>
              <w:top w:val="single" w:sz="4" w:space="0" w:color="auto"/>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69</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96%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PT</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124</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73%</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27%</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RO</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22</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100%</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SI</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17</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100%</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SK</w:t>
            </w:r>
          </w:p>
        </w:tc>
        <w:tc>
          <w:tcPr>
            <w:tcW w:w="0" w:type="auto"/>
            <w:tcBorders>
              <w:left w:val="single" w:sz="4" w:space="0" w:color="auto"/>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12</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FI</w:t>
            </w:r>
          </w:p>
        </w:tc>
        <w:tc>
          <w:tcPr>
            <w:tcW w:w="0" w:type="auto"/>
            <w:tcBorders>
              <w:top w:val="single" w:sz="4" w:space="0" w:color="auto"/>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108</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99%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SE</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120</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99%</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UK</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305</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100%</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TR</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21</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100%</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LI</w:t>
            </w:r>
          </w:p>
        </w:tc>
        <w:tc>
          <w:tcPr>
            <w:tcW w:w="0" w:type="auto"/>
            <w:tcBorders>
              <w:left w:val="single" w:sz="4" w:space="0" w:color="auto"/>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IS</w:t>
            </w:r>
          </w:p>
        </w:tc>
        <w:tc>
          <w:tcPr>
            <w:tcW w:w="0" w:type="auto"/>
            <w:tcBorders>
              <w:top w:val="single" w:sz="4" w:space="0" w:color="auto"/>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4</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MK</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NO</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68</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100%</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other</w:t>
            </w:r>
          </w:p>
        </w:tc>
        <w:tc>
          <w:tcPr>
            <w:tcW w:w="0" w:type="auto"/>
            <w:tcBorders>
              <w:left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29</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14%</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59%</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24%</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bookmarkEnd w:id="14"/>
    </w:tbl>
    <w:p w:rsidR="004B107A" w:rsidRDefault="004B107A" w:rsidP="004B107A"/>
    <w:p w:rsidR="004B107A" w:rsidRDefault="004B107A" w:rsidP="004B107A">
      <w:pPr>
        <w:sectPr w:rsidR="004B107A" w:rsidSect="004B107A">
          <w:pgSz w:w="11907" w:h="16839" w:code="9"/>
          <w:pgMar w:top="1440" w:right="1440" w:bottom="1440" w:left="1440" w:header="709" w:footer="709" w:gutter="0"/>
          <w:cols w:space="708"/>
          <w:docGrid w:linePitch="360"/>
        </w:sectPr>
      </w:pPr>
    </w:p>
    <w:p w:rsidR="004B107A" w:rsidRDefault="004B107A" w:rsidP="004B107A">
      <w:pPr>
        <w:pStyle w:val="Heading1"/>
      </w:pPr>
      <w:bookmarkStart w:id="15" w:name="sec_II__Results_of_Erasmus__OLS_Language"/>
      <w:bookmarkStart w:id="16" w:name="_Toc476736701"/>
      <w:bookmarkEnd w:id="15"/>
      <w:r>
        <w:lastRenderedPageBreak/>
        <w:t>II. Results of Erasmus+ OLS Language Assessments</w:t>
      </w:r>
      <w:bookmarkEnd w:id="16"/>
    </w:p>
    <w:p w:rsidR="004B107A" w:rsidRDefault="004B107A" w:rsidP="004B107A">
      <w:pPr>
        <w:sectPr w:rsidR="004B107A" w:rsidSect="004B107A">
          <w:pgSz w:w="11907" w:h="16839" w:code="9"/>
          <w:pgMar w:top="1440" w:right="1440" w:bottom="1440" w:left="1440" w:header="709" w:footer="709" w:gutter="0"/>
          <w:cols w:space="708"/>
          <w:docGrid w:linePitch="360"/>
        </w:sectPr>
      </w:pPr>
    </w:p>
    <w:p w:rsidR="004B107A" w:rsidRDefault="004B107A" w:rsidP="004B107A">
      <w:pPr>
        <w:pStyle w:val="Heading2"/>
      </w:pPr>
      <w:bookmarkStart w:id="17" w:name="subsec____OLS_Results_for_the_First_Lang"/>
      <w:bookmarkStart w:id="18" w:name="_Toc476736702"/>
      <w:bookmarkEnd w:id="17"/>
      <w:r>
        <w:lastRenderedPageBreak/>
        <w:t>1. OLS Results for the First Language Assessment</w:t>
      </w:r>
      <w:bookmarkEnd w:id="18"/>
    </w:p>
    <w:p w:rsidR="004B107A" w:rsidRDefault="004B107A" w:rsidP="004B107A">
      <w:pPr>
        <w:pStyle w:val="BodyText"/>
      </w:pPr>
      <w:r>
        <w:t>This table/graph gives on overview of  participants' results on completed language assessment 1 per language and per CEFR level.</w:t>
      </w:r>
    </w:p>
    <w:p w:rsidR="004B107A" w:rsidRDefault="004B107A" w:rsidP="004B107A">
      <w:pPr>
        <w:pStyle w:val="Caption"/>
        <w:keepNext/>
      </w:pPr>
      <w:r>
        <w:t xml:space="preserve">Table </w:t>
      </w:r>
      <w:fldSimple w:instr=" SEQ Table \* ARABIC ">
        <w:r>
          <w:rPr>
            <w:noProof/>
          </w:rPr>
          <w:t>5</w:t>
        </w:r>
      </w:fldSimple>
      <w:r>
        <w:t>.  participants' results of completed language assessment 1 per language per CEFR level</w:t>
      </w:r>
    </w:p>
    <w:tbl>
      <w:tblPr>
        <w:tblW w:w="0" w:type="auto"/>
        <w:tblCellMar>
          <w:left w:w="100" w:type="dxa"/>
          <w:right w:w="100" w:type="dxa"/>
        </w:tblCellMar>
        <w:tblLook w:val="0000" w:firstRow="0" w:lastRow="0" w:firstColumn="0" w:lastColumn="0" w:noHBand="0" w:noVBand="0"/>
      </w:tblPr>
      <w:tblGrid>
        <w:gridCol w:w="1236"/>
        <w:gridCol w:w="688"/>
        <w:gridCol w:w="739"/>
        <w:gridCol w:w="739"/>
        <w:gridCol w:w="688"/>
        <w:gridCol w:w="688"/>
        <w:gridCol w:w="688"/>
        <w:gridCol w:w="1873"/>
      </w:tblGrid>
      <w:tr w:rsidR="004B107A" w:rsidRPr="004B107A" w:rsidTr="004B107A">
        <w:tblPrEx>
          <w:tblCellMar>
            <w:top w:w="0" w:type="dxa"/>
            <w:bottom w:w="0" w:type="dxa"/>
          </w:tblCellMar>
        </w:tblPrEx>
        <w:tc>
          <w:tcPr>
            <w:tcW w:w="0" w:type="auto"/>
            <w:tcBorders>
              <w:bottom w:val="single" w:sz="4" w:space="0" w:color="auto"/>
            </w:tcBorders>
            <w:shd w:val="clear" w:color="auto" w:fill="auto"/>
            <w:vAlign w:val="center"/>
          </w:tcPr>
          <w:p w:rsidR="004B107A" w:rsidRPr="004B107A" w:rsidRDefault="004B107A" w:rsidP="004B107A">
            <w:pPr>
              <w:jc w:val="left"/>
              <w:rPr>
                <w:sz w:val="18"/>
              </w:rPr>
            </w:pPr>
            <w:bookmarkStart w:id="19" w:name="Table15"/>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A1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B1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B2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C1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C2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Total LA1 per language</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DE</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6,9%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10,1%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16,6%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33,6%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19,4%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13,4%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217</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EN</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0,2%</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5,5%</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22,3%</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31,6%</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24,1%</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16,4%</w:t>
            </w:r>
          </w:p>
        </w:tc>
        <w:tc>
          <w:tcPr>
            <w:tcW w:w="0" w:type="auto"/>
            <w:shd w:val="clear" w:color="auto" w:fill="auto"/>
            <w:vAlign w:val="center"/>
          </w:tcPr>
          <w:p w:rsidR="004B107A" w:rsidRPr="004B107A" w:rsidRDefault="004B107A" w:rsidP="004B107A">
            <w:pPr>
              <w:jc w:val="right"/>
              <w:rPr>
                <w:sz w:val="18"/>
              </w:rPr>
            </w:pPr>
            <w:r w:rsidRPr="004B107A">
              <w:rPr>
                <w:sz w:val="18"/>
              </w:rPr>
              <w:t>1.879</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ES</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18,6%</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27,2%</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21,0%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17,7%</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11,4%</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4,1%</w:t>
            </w:r>
          </w:p>
        </w:tc>
        <w:tc>
          <w:tcPr>
            <w:tcW w:w="0" w:type="auto"/>
            <w:shd w:val="clear" w:color="auto" w:fill="auto"/>
            <w:vAlign w:val="center"/>
          </w:tcPr>
          <w:p w:rsidR="004B107A" w:rsidRPr="004B107A" w:rsidRDefault="004B107A" w:rsidP="004B107A">
            <w:pPr>
              <w:jc w:val="right"/>
              <w:rPr>
                <w:sz w:val="18"/>
              </w:rPr>
            </w:pPr>
            <w:r w:rsidRPr="004B107A">
              <w:rPr>
                <w:sz w:val="18"/>
              </w:rPr>
              <w:t>657</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FR</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8,3%</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8,3%</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33,3%</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25,0%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25,0%</w:t>
            </w:r>
          </w:p>
        </w:tc>
        <w:tc>
          <w:tcPr>
            <w:tcW w:w="0" w:type="auto"/>
            <w:shd w:val="clear" w:color="auto" w:fill="auto"/>
            <w:vAlign w:val="center"/>
          </w:tcPr>
          <w:p w:rsidR="004B107A" w:rsidRPr="004B107A" w:rsidRDefault="004B107A" w:rsidP="004B107A">
            <w:pPr>
              <w:jc w:val="right"/>
              <w:rPr>
                <w:sz w:val="18"/>
              </w:rPr>
            </w:pPr>
            <w:r w:rsidRPr="004B107A">
              <w:rPr>
                <w:sz w:val="18"/>
              </w:rPr>
              <w:t>12</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IT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14,3%</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18,2%</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25,6%</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16,3%</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16,7%</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8,9%</w:t>
            </w:r>
          </w:p>
        </w:tc>
        <w:tc>
          <w:tcPr>
            <w:tcW w:w="0" w:type="auto"/>
            <w:shd w:val="clear" w:color="auto" w:fill="auto"/>
            <w:vAlign w:val="center"/>
          </w:tcPr>
          <w:p w:rsidR="004B107A" w:rsidRPr="004B107A" w:rsidRDefault="004B107A" w:rsidP="004B107A">
            <w:pPr>
              <w:jc w:val="right"/>
              <w:rPr>
                <w:sz w:val="18"/>
              </w:rPr>
            </w:pPr>
            <w:r w:rsidRPr="004B107A">
              <w:rPr>
                <w:sz w:val="18"/>
              </w:rPr>
              <w:t>203</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NL</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2,6%</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7,7%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16,7%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37,2%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19,2%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16,7%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78</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CS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DA</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25,0%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25,0%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25,0%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25,0%</w:t>
            </w:r>
          </w:p>
        </w:tc>
        <w:tc>
          <w:tcPr>
            <w:tcW w:w="0" w:type="auto"/>
            <w:shd w:val="clear" w:color="auto" w:fill="auto"/>
            <w:vAlign w:val="center"/>
          </w:tcPr>
          <w:p w:rsidR="004B107A" w:rsidRPr="004B107A" w:rsidRDefault="004B107A" w:rsidP="004B107A">
            <w:pPr>
              <w:jc w:val="right"/>
              <w:rPr>
                <w:sz w:val="18"/>
              </w:rPr>
            </w:pPr>
            <w:r w:rsidRPr="004B107A">
              <w:rPr>
                <w:sz w:val="18"/>
              </w:rPr>
              <w:t>4</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EL</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33,3%</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66,7%</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3</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PL</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100,0%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1</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PT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65,6%</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12,5%</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9,4%</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3,1%</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3,1%</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6,2%</w:t>
            </w:r>
          </w:p>
        </w:tc>
        <w:tc>
          <w:tcPr>
            <w:tcW w:w="0" w:type="auto"/>
            <w:shd w:val="clear" w:color="auto" w:fill="auto"/>
            <w:vAlign w:val="center"/>
          </w:tcPr>
          <w:p w:rsidR="004B107A" w:rsidRPr="004B107A" w:rsidRDefault="004B107A" w:rsidP="004B107A">
            <w:pPr>
              <w:jc w:val="right"/>
              <w:rPr>
                <w:sz w:val="18"/>
              </w:rPr>
            </w:pPr>
            <w:r w:rsidRPr="004B107A">
              <w:rPr>
                <w:sz w:val="18"/>
              </w:rPr>
              <w:t>32</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SV</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 xml:space="preserve">Total  LA1 </w:t>
            </w:r>
            <w:r w:rsidRPr="004B107A">
              <w:rPr>
                <w:sz w:val="18"/>
              </w:rPr>
              <w:br/>
              <w:t>per CEFR level</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195</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354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664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851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623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401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3.088</w:t>
            </w:r>
          </w:p>
        </w:tc>
      </w:tr>
      <w:bookmarkEnd w:id="19"/>
    </w:tbl>
    <w:p w:rsidR="004B107A" w:rsidRDefault="004B107A" w:rsidP="004B107A"/>
    <w:p w:rsidR="004B107A" w:rsidRDefault="004B107A" w:rsidP="004B107A">
      <w:pPr>
        <w:pStyle w:val="Caption"/>
        <w:keepNext/>
      </w:pPr>
      <w:r>
        <w:t xml:space="preserve">Figure </w:t>
      </w:r>
      <w:fldSimple w:instr=" SEQ Figure \* ARABIC ">
        <w:r>
          <w:rPr>
            <w:noProof/>
          </w:rPr>
          <w:t>3</w:t>
        </w:r>
      </w:fldSimple>
      <w:r>
        <w:t>. Distribution of CEFR levels of completed language assessment 1</w:t>
      </w:r>
      <w:bookmarkStart w:id="20" w:name="InlineShape4"/>
      <w:bookmarkEnd w:id="20"/>
    </w:p>
    <w:p w:rsidR="004B107A" w:rsidRDefault="004B107A" w:rsidP="004B107A">
      <w:r>
        <w:rPr>
          <w:noProof/>
        </w:rPr>
        <w:drawing>
          <wp:inline distT="0" distB="0" distL="0" distR="0" wp14:anchorId="6633FA94" wp14:editId="7320F09B">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4B107A" w:rsidRDefault="004B107A" w:rsidP="004B107A">
      <w:pPr>
        <w:rPr>
          <w:i/>
        </w:rPr>
      </w:pPr>
      <w:r>
        <w:rPr>
          <w:i/>
        </w:rPr>
        <w:t>NB: columns represent 100% of completed language assessments 1 per language.</w:t>
      </w:r>
    </w:p>
    <w:p w:rsidR="004B107A" w:rsidRDefault="004B107A" w:rsidP="004B107A">
      <w:pPr>
        <w:rPr>
          <w:i/>
        </w:rPr>
        <w:sectPr w:rsidR="004B107A" w:rsidSect="004B107A">
          <w:type w:val="continuous"/>
          <w:pgSz w:w="11907" w:h="16839" w:code="9"/>
          <w:pgMar w:top="1440" w:right="1440" w:bottom="1440" w:left="1440" w:header="709" w:footer="709" w:gutter="0"/>
          <w:cols w:space="708"/>
          <w:docGrid w:linePitch="360"/>
        </w:sectPr>
      </w:pPr>
    </w:p>
    <w:p w:rsidR="004B107A" w:rsidRDefault="004B107A" w:rsidP="004B107A">
      <w:pPr>
        <w:pStyle w:val="Heading2"/>
      </w:pPr>
      <w:bookmarkStart w:id="21" w:name="subsec____OLS_Results_for_the_Second_Lan"/>
      <w:bookmarkStart w:id="22" w:name="_Toc476736703"/>
      <w:bookmarkEnd w:id="21"/>
      <w:r>
        <w:lastRenderedPageBreak/>
        <w:t>2. OLS Results for the Second Language Assessment</w:t>
      </w:r>
      <w:bookmarkEnd w:id="22"/>
    </w:p>
    <w:p w:rsidR="004B107A" w:rsidRDefault="004B107A" w:rsidP="004B107A">
      <w:pPr>
        <w:pStyle w:val="BodyText"/>
      </w:pPr>
      <w:r>
        <w:t>This table/graph gives on overview of  participants' results on completed language assessment 2 per language and per CEFR level.</w:t>
      </w:r>
    </w:p>
    <w:p w:rsidR="004B107A" w:rsidRDefault="004B107A" w:rsidP="004B107A">
      <w:pPr>
        <w:pStyle w:val="Caption"/>
        <w:keepNext/>
      </w:pPr>
      <w:r>
        <w:t xml:space="preserve">Table </w:t>
      </w:r>
      <w:fldSimple w:instr=" SEQ Table \* ARABIC ">
        <w:r>
          <w:rPr>
            <w:noProof/>
          </w:rPr>
          <w:t>6</w:t>
        </w:r>
      </w:fldSimple>
      <w:r>
        <w:t>.  participants' results of language assessment 2 per language per CEFR level</w:t>
      </w:r>
    </w:p>
    <w:tbl>
      <w:tblPr>
        <w:tblW w:w="0" w:type="auto"/>
        <w:tblCellMar>
          <w:left w:w="100" w:type="dxa"/>
          <w:right w:w="100" w:type="dxa"/>
        </w:tblCellMar>
        <w:tblLook w:val="0000" w:firstRow="0" w:lastRow="0" w:firstColumn="0" w:lastColumn="0" w:noHBand="0" w:noVBand="0"/>
      </w:tblPr>
      <w:tblGrid>
        <w:gridCol w:w="1236"/>
        <w:gridCol w:w="688"/>
        <w:gridCol w:w="739"/>
        <w:gridCol w:w="739"/>
        <w:gridCol w:w="688"/>
        <w:gridCol w:w="688"/>
        <w:gridCol w:w="688"/>
        <w:gridCol w:w="1873"/>
      </w:tblGrid>
      <w:tr w:rsidR="004B107A" w:rsidRPr="004B107A" w:rsidTr="004B107A">
        <w:tblPrEx>
          <w:tblCellMar>
            <w:top w:w="0" w:type="dxa"/>
            <w:bottom w:w="0" w:type="dxa"/>
          </w:tblCellMar>
        </w:tblPrEx>
        <w:tc>
          <w:tcPr>
            <w:tcW w:w="0" w:type="auto"/>
            <w:tcBorders>
              <w:bottom w:val="single" w:sz="4" w:space="0" w:color="auto"/>
            </w:tcBorders>
            <w:shd w:val="clear" w:color="auto" w:fill="auto"/>
            <w:vAlign w:val="center"/>
          </w:tcPr>
          <w:p w:rsidR="004B107A" w:rsidRPr="004B107A" w:rsidRDefault="004B107A" w:rsidP="004B107A">
            <w:pPr>
              <w:jc w:val="left"/>
              <w:rPr>
                <w:sz w:val="18"/>
              </w:rPr>
            </w:pPr>
            <w:bookmarkStart w:id="23" w:name="Table18"/>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A1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B1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B2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C1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C2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Total LA2 per language</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DE</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9,6%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30,1%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37,3%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18,1%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83</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EN</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0,1%</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14,4%</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29,8%</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31,0%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22,6%</w:t>
            </w:r>
          </w:p>
        </w:tc>
        <w:tc>
          <w:tcPr>
            <w:tcW w:w="0" w:type="auto"/>
            <w:shd w:val="clear" w:color="auto" w:fill="auto"/>
            <w:vAlign w:val="center"/>
          </w:tcPr>
          <w:p w:rsidR="004B107A" w:rsidRPr="004B107A" w:rsidRDefault="004B107A" w:rsidP="004B107A">
            <w:pPr>
              <w:jc w:val="right"/>
              <w:rPr>
                <w:sz w:val="18"/>
              </w:rPr>
            </w:pPr>
            <w:r w:rsidRPr="004B107A">
              <w:rPr>
                <w:sz w:val="18"/>
              </w:rPr>
              <w:t>845</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ES</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2,4%</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10,4%</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23,5%</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24,2%</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20,1%</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19,4%</w:t>
            </w:r>
          </w:p>
        </w:tc>
        <w:tc>
          <w:tcPr>
            <w:tcW w:w="0" w:type="auto"/>
            <w:shd w:val="clear" w:color="auto" w:fill="auto"/>
            <w:vAlign w:val="center"/>
          </w:tcPr>
          <w:p w:rsidR="004B107A" w:rsidRPr="004B107A" w:rsidRDefault="004B107A" w:rsidP="004B107A">
            <w:pPr>
              <w:jc w:val="right"/>
              <w:rPr>
                <w:sz w:val="18"/>
              </w:rPr>
            </w:pPr>
            <w:r w:rsidRPr="004B107A">
              <w:rPr>
                <w:sz w:val="18"/>
              </w:rPr>
              <w:t>289</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FR</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60,0%</w:t>
            </w:r>
          </w:p>
        </w:tc>
        <w:tc>
          <w:tcPr>
            <w:tcW w:w="0" w:type="auto"/>
            <w:shd w:val="clear" w:color="auto" w:fill="auto"/>
            <w:vAlign w:val="center"/>
          </w:tcPr>
          <w:p w:rsidR="004B107A" w:rsidRPr="004B107A" w:rsidRDefault="004B107A" w:rsidP="004B107A">
            <w:pPr>
              <w:jc w:val="right"/>
              <w:rPr>
                <w:sz w:val="18"/>
              </w:rPr>
            </w:pPr>
            <w:r w:rsidRPr="004B107A">
              <w:rPr>
                <w:sz w:val="18"/>
              </w:rPr>
              <w:t>5</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IT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2,8%</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9,7%</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12,5%</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29,2%</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23,6%</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22,2%</w:t>
            </w:r>
          </w:p>
        </w:tc>
        <w:tc>
          <w:tcPr>
            <w:tcW w:w="0" w:type="auto"/>
            <w:shd w:val="clear" w:color="auto" w:fill="auto"/>
            <w:vAlign w:val="center"/>
          </w:tcPr>
          <w:p w:rsidR="004B107A" w:rsidRPr="004B107A" w:rsidRDefault="004B107A" w:rsidP="004B107A">
            <w:pPr>
              <w:jc w:val="right"/>
              <w:rPr>
                <w:sz w:val="18"/>
              </w:rPr>
            </w:pPr>
            <w:r w:rsidRPr="004B107A">
              <w:rPr>
                <w:sz w:val="18"/>
              </w:rPr>
              <w:t>72</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NL</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2,9%</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25,7%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37,1%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34,3%</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35</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CS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DA</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0</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EL</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50,0%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50,0%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2</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PL</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100,0%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1</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PT</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50,0%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12,5%</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12,5%</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25,0%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8</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SV</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 xml:space="preserve">Total  LA2 </w:t>
            </w:r>
            <w:r w:rsidRPr="004B107A">
              <w:rPr>
                <w:sz w:val="18"/>
              </w:rPr>
              <w:br/>
              <w:t>per CEFR level</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60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211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379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382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293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1.341</w:t>
            </w:r>
          </w:p>
        </w:tc>
      </w:tr>
      <w:bookmarkEnd w:id="23"/>
    </w:tbl>
    <w:p w:rsidR="004B107A" w:rsidRDefault="004B107A" w:rsidP="004B107A"/>
    <w:p w:rsidR="004B107A" w:rsidRDefault="004B107A" w:rsidP="004B107A">
      <w:pPr>
        <w:pStyle w:val="Caption"/>
        <w:keepNext/>
      </w:pPr>
      <w:r>
        <w:t xml:space="preserve">Figure </w:t>
      </w:r>
      <w:fldSimple w:instr=" SEQ Figure \* ARABIC ">
        <w:r>
          <w:rPr>
            <w:noProof/>
          </w:rPr>
          <w:t>4</w:t>
        </w:r>
      </w:fldSimple>
      <w:r>
        <w:t>. Distribution of CEFR levels at language assessment 2</w:t>
      </w:r>
      <w:bookmarkStart w:id="24" w:name="InlineShape5"/>
      <w:bookmarkEnd w:id="24"/>
    </w:p>
    <w:p w:rsidR="004B107A" w:rsidRDefault="004B107A" w:rsidP="004B107A">
      <w:r>
        <w:rPr>
          <w:noProof/>
        </w:rPr>
        <w:drawing>
          <wp:inline distT="0" distB="0" distL="0" distR="0" wp14:anchorId="2F29C85C" wp14:editId="70F84125">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4B107A" w:rsidRDefault="004B107A" w:rsidP="004B107A">
      <w:pPr>
        <w:rPr>
          <w:i/>
        </w:rPr>
      </w:pPr>
      <w:r>
        <w:rPr>
          <w:i/>
        </w:rPr>
        <w:t>NB: columns represent 100% of completed language assessments 2 per language.</w:t>
      </w:r>
    </w:p>
    <w:p w:rsidR="004B107A" w:rsidRDefault="004B107A" w:rsidP="004B107A">
      <w:pPr>
        <w:rPr>
          <w:i/>
        </w:rPr>
        <w:sectPr w:rsidR="004B107A" w:rsidSect="004B107A">
          <w:pgSz w:w="11907" w:h="16839" w:code="9"/>
          <w:pgMar w:top="1440" w:right="1440" w:bottom="1440" w:left="1440" w:header="709" w:footer="709" w:gutter="0"/>
          <w:cols w:space="708"/>
          <w:docGrid w:linePitch="360"/>
        </w:sectPr>
      </w:pPr>
    </w:p>
    <w:p w:rsidR="004B107A" w:rsidRDefault="004B107A" w:rsidP="004B107A">
      <w:pPr>
        <w:pStyle w:val="Heading2"/>
      </w:pPr>
      <w:bookmarkStart w:id="25" w:name="subsec____Comparison_of_OLS_Results_for_"/>
      <w:bookmarkStart w:id="26" w:name="_Toc476736704"/>
      <w:bookmarkEnd w:id="25"/>
      <w:r>
        <w:lastRenderedPageBreak/>
        <w:t>3. Comparison of OLS Results for the First and Second Language Assessment</w:t>
      </w:r>
      <w:bookmarkEnd w:id="26"/>
    </w:p>
    <w:p w:rsidR="004B107A" w:rsidRDefault="004B107A" w:rsidP="004B107A">
      <w:pPr>
        <w:pStyle w:val="BodyText"/>
      </w:pPr>
      <w:r>
        <w:t>This table compares  participants' results according to the CEFR across completed language assessments 1 and completed language assessments 2.</w:t>
      </w:r>
    </w:p>
    <w:p w:rsidR="004B107A" w:rsidRDefault="004B107A" w:rsidP="004B107A">
      <w:pPr>
        <w:pStyle w:val="Caption"/>
        <w:keepNext/>
      </w:pPr>
      <w:r>
        <w:t xml:space="preserve">Table </w:t>
      </w:r>
      <w:fldSimple w:instr=" SEQ Table \* ARABIC ">
        <w:r>
          <w:rPr>
            <w:noProof/>
          </w:rPr>
          <w:t>7</w:t>
        </w:r>
      </w:fldSimple>
      <w:r>
        <w:t>. Distribution of assessment results by CEFR level for those  participants having completed language assessment1 and language assessment 2, including an indication of results by relevant category</w:t>
      </w:r>
    </w:p>
    <w:tbl>
      <w:tblPr>
        <w:tblW w:w="0" w:type="auto"/>
        <w:tblCellMar>
          <w:left w:w="100" w:type="dxa"/>
          <w:right w:w="100" w:type="dxa"/>
        </w:tblCellMar>
        <w:tblLook w:val="0000" w:firstRow="0" w:lastRow="0" w:firstColumn="0" w:lastColumn="0" w:noHBand="0" w:noVBand="0"/>
      </w:tblPr>
      <w:tblGrid>
        <w:gridCol w:w="727"/>
        <w:gridCol w:w="688"/>
        <w:gridCol w:w="688"/>
        <w:gridCol w:w="688"/>
        <w:gridCol w:w="648"/>
        <w:gridCol w:w="648"/>
        <w:gridCol w:w="648"/>
        <w:gridCol w:w="1024"/>
        <w:gridCol w:w="1018"/>
        <w:gridCol w:w="1137"/>
      </w:tblGrid>
      <w:tr w:rsidR="004B107A" w:rsidRPr="004B107A" w:rsidTr="004B107A">
        <w:tblPrEx>
          <w:tblCellMar>
            <w:top w:w="0" w:type="dxa"/>
            <w:bottom w:w="0" w:type="dxa"/>
          </w:tblCellMar>
        </w:tblPrEx>
        <w:tc>
          <w:tcPr>
            <w:tcW w:w="0" w:type="auto"/>
            <w:tcBorders>
              <w:bottom w:val="single" w:sz="4" w:space="0" w:color="auto"/>
            </w:tcBorders>
            <w:shd w:val="clear" w:color="auto" w:fill="auto"/>
            <w:vAlign w:val="center"/>
          </w:tcPr>
          <w:p w:rsidR="004B107A" w:rsidRPr="004B107A" w:rsidRDefault="004B107A" w:rsidP="004B107A">
            <w:pPr>
              <w:jc w:val="left"/>
              <w:rPr>
                <w:sz w:val="18"/>
              </w:rPr>
            </w:pPr>
            <w:bookmarkStart w:id="27" w:name="Table21"/>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A1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B1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B2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C1</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C2</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A2 and less</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B1 and less</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B2 and more</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all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21,9%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27,7%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22,5%</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12,9%</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15,0%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36,8%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63,2%</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all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4,5%</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15,7%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28,3%</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28,6%</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21,9%</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5,5%</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21,2%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78,8%</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DE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6,1%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8,5%</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14,6%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40,2%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20,7%</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9,8%</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14,6%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29,3%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70,7%</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DE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9,8%</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30,5%</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37,8%</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18,3%</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13,4%</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86,6%</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EN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22,7%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30,8%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25,6%</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16,4%</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4,5%</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27,2%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72,8%</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EN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14,4%</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29,8%</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31,0%</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22,6%</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16,6%</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83,4%</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ES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14,3%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25,8%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22,3%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17,4%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15,7%</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4,5%</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40,1%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62,4%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37,6%</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ES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10,5%</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23,3%</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24,4%</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20,2%</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19,5%</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12,5%</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35,9%</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64,1%</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FR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40%</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20%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40%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60%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FR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20%</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60%</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80%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IT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15,5%</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15,5%</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26,8%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16,9%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16,9%</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8,5%</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31,0%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57,7%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42,3%</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IT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2,8%</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9,9%</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12,7%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28,2%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23,9%</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22,5%</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12,7%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25,4%</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74,6%</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NL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40,0%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25,7%</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20,0%</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8,6%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14,3%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85,7%</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NL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2,9%</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25,7%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37,1%</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34,3%</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2,9%</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97,1%</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CS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CS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DA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DA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EL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EL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PL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PL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PT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57,1%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28,6%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14,3%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85,7%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100,0%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PT LA2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42,9%</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14,3%</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14,3%</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28,6%</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57,1%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71,4%</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28,6%</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SV LA1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SV LA2</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w:t>
            </w:r>
          </w:p>
        </w:tc>
      </w:tr>
      <w:bookmarkEnd w:id="27"/>
    </w:tbl>
    <w:p w:rsidR="004B107A" w:rsidRDefault="004B107A" w:rsidP="004B107A"/>
    <w:p w:rsidR="004B107A" w:rsidRDefault="004B107A" w:rsidP="004B107A">
      <w:pPr>
        <w:pStyle w:val="Caption"/>
        <w:keepNext/>
      </w:pPr>
      <w:r>
        <w:t xml:space="preserve">Figure </w:t>
      </w:r>
      <w:fldSimple w:instr=" SEQ Figure \* ARABIC ">
        <w:r>
          <w:rPr>
            <w:noProof/>
          </w:rPr>
          <w:t>5</w:t>
        </w:r>
      </w:fldSimple>
      <w:r>
        <w:t>. Distribution of CEFR levels at language assessment 1 and language assessment 2.</w:t>
      </w:r>
      <w:bookmarkStart w:id="28" w:name="InlineShape6"/>
      <w:bookmarkEnd w:id="28"/>
    </w:p>
    <w:p w:rsidR="004B107A" w:rsidRDefault="004B107A" w:rsidP="004B107A">
      <w:pPr>
        <w:sectPr w:rsidR="004B107A" w:rsidSect="004B107A">
          <w:pgSz w:w="11907" w:h="16839" w:code="9"/>
          <w:pgMar w:top="1440" w:right="1440" w:bottom="1440" w:left="1440" w:header="709" w:footer="709" w:gutter="0"/>
          <w:cols w:space="708"/>
          <w:docGrid w:linePitch="360"/>
        </w:sectPr>
      </w:pPr>
      <w:r>
        <w:rPr>
          <w:noProof/>
        </w:rPr>
        <w:drawing>
          <wp:inline distT="0" distB="0" distL="0" distR="0" wp14:anchorId="47D800F1" wp14:editId="44A90973">
            <wp:extent cx="54864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rsidR="004B107A" w:rsidRDefault="004B107A" w:rsidP="004B107A">
      <w:pPr>
        <w:pStyle w:val="Heading1"/>
      </w:pPr>
      <w:bookmarkStart w:id="29" w:name="sec_III__Erasmus__OLS_Language_Courses"/>
      <w:bookmarkStart w:id="30" w:name="_Toc476736705"/>
      <w:bookmarkEnd w:id="29"/>
      <w:r>
        <w:lastRenderedPageBreak/>
        <w:t>III. Erasmus+ OLS Language Courses</w:t>
      </w:r>
      <w:bookmarkEnd w:id="30"/>
    </w:p>
    <w:p w:rsidR="004B107A" w:rsidRDefault="004B107A" w:rsidP="004B107A">
      <w:pPr>
        <w:sectPr w:rsidR="004B107A" w:rsidSect="004B107A">
          <w:pgSz w:w="11907" w:h="16839" w:code="9"/>
          <w:pgMar w:top="1440" w:right="1440" w:bottom="1440" w:left="1440" w:header="709" w:footer="709" w:gutter="0"/>
          <w:cols w:space="708"/>
          <w:docGrid w:linePitch="360"/>
        </w:sectPr>
      </w:pPr>
    </w:p>
    <w:p w:rsidR="004B107A" w:rsidRDefault="004B107A" w:rsidP="004B107A">
      <w:pPr>
        <w:pStyle w:val="Heading2"/>
      </w:pPr>
      <w:bookmarkStart w:id="31" w:name="subsec____Usage_of_OLS_Language_Courses"/>
      <w:bookmarkStart w:id="32" w:name="_Toc476736706"/>
      <w:bookmarkEnd w:id="31"/>
      <w:r>
        <w:lastRenderedPageBreak/>
        <w:t>1. Usage of OLS Language Courses</w:t>
      </w:r>
      <w:bookmarkEnd w:id="32"/>
    </w:p>
    <w:p w:rsidR="004B107A" w:rsidRDefault="004B107A" w:rsidP="004B107A">
      <w:pPr>
        <w:pStyle w:val="BodyText"/>
      </w:pPr>
      <w:r>
        <w:t>The following table gives an overview of  participants' active usage of the language course. The categories represent the number of hours during which activity was registered on the OSL language platform.</w:t>
      </w:r>
    </w:p>
    <w:p w:rsidR="004B107A" w:rsidRDefault="004B107A" w:rsidP="004B107A">
      <w:pPr>
        <w:pStyle w:val="Caption"/>
        <w:keepNext/>
      </w:pPr>
      <w:r>
        <w:t xml:space="preserve">Table </w:t>
      </w:r>
      <w:fldSimple w:instr=" SEQ Table \* ARABIC ">
        <w:r>
          <w:rPr>
            <w:noProof/>
          </w:rPr>
          <w:t>8</w:t>
        </w:r>
      </w:fldSimple>
      <w:r>
        <w:t>. Usage of activated OLS language courses</w:t>
      </w:r>
    </w:p>
    <w:tbl>
      <w:tblPr>
        <w:tblW w:w="0" w:type="auto"/>
        <w:tblCellMar>
          <w:left w:w="100" w:type="dxa"/>
          <w:right w:w="100" w:type="dxa"/>
        </w:tblCellMar>
        <w:tblLook w:val="0000" w:firstRow="0" w:lastRow="0" w:firstColumn="0" w:lastColumn="0" w:noHBand="0" w:noVBand="0"/>
      </w:tblPr>
      <w:tblGrid>
        <w:gridCol w:w="415"/>
        <w:gridCol w:w="1717"/>
        <w:gridCol w:w="739"/>
        <w:gridCol w:w="638"/>
        <w:gridCol w:w="876"/>
        <w:gridCol w:w="900"/>
        <w:gridCol w:w="991"/>
        <w:gridCol w:w="1286"/>
      </w:tblGrid>
      <w:tr w:rsidR="004B107A" w:rsidRPr="004B107A" w:rsidTr="004B107A">
        <w:tblPrEx>
          <w:tblCellMar>
            <w:top w:w="0" w:type="dxa"/>
            <w:bottom w:w="0" w:type="dxa"/>
          </w:tblCellMar>
        </w:tblPrEx>
        <w:tc>
          <w:tcPr>
            <w:tcW w:w="0" w:type="auto"/>
            <w:tcBorders>
              <w:bottom w:val="single" w:sz="4" w:space="0" w:color="auto"/>
            </w:tcBorders>
            <w:shd w:val="clear" w:color="auto" w:fill="auto"/>
            <w:vAlign w:val="center"/>
          </w:tcPr>
          <w:p w:rsidR="004B107A" w:rsidRPr="004B107A" w:rsidRDefault="004B107A" w:rsidP="004B107A">
            <w:pPr>
              <w:jc w:val="right"/>
              <w:rPr>
                <w:sz w:val="18"/>
              </w:rPr>
            </w:pPr>
            <w:bookmarkStart w:id="33" w:name="Table25"/>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Total</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0h</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below 1h</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1h to 10h</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10h to 30h</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more than 30h</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All</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1.154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574</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439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117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23</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49,7%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38,0%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10,1%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DE</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89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41,6%</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43,8%</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12,4%</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2,2%</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EN</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517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280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192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40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5</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54,2%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37,1%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7,7%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ES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352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161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129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52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45,7%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36,6%</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14,8%</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2,8%</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FR</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5</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60%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IT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120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60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47</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5</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39,2%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6,7%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4,2%</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NL</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6</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69,2%</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23,1%</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7,7%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CS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DA</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EL</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PL</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2</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PT</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right"/>
              <w:rPr>
                <w:sz w:val="18"/>
              </w:rPr>
            </w:pP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100,0%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26,7%</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60,0%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10,0%</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3,3%</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SV</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Mobility Participants</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8</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5</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3</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0</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right"/>
              <w:rPr>
                <w:sz w:val="18"/>
              </w:rPr>
            </w:pPr>
          </w:p>
        </w:tc>
        <w:tc>
          <w:tcPr>
            <w:tcW w:w="0" w:type="auto"/>
            <w:shd w:val="clear" w:color="auto" w:fill="auto"/>
            <w:vAlign w:val="center"/>
          </w:tcPr>
          <w:p w:rsidR="004B107A" w:rsidRPr="004B107A" w:rsidRDefault="004B107A" w:rsidP="004B107A">
            <w:pPr>
              <w:jc w:val="right"/>
              <w:rPr>
                <w:sz w:val="18"/>
              </w:rPr>
            </w:pPr>
            <w:r w:rsidRPr="004B107A">
              <w:rPr>
                <w:sz w:val="18"/>
              </w:rPr>
              <w:t>%</w:t>
            </w:r>
          </w:p>
        </w:tc>
        <w:tc>
          <w:tcPr>
            <w:tcW w:w="0" w:type="auto"/>
            <w:shd w:val="clear" w:color="auto" w:fill="auto"/>
            <w:vAlign w:val="center"/>
          </w:tcPr>
          <w:p w:rsidR="004B107A" w:rsidRPr="004B107A" w:rsidRDefault="004B107A" w:rsidP="004B107A">
            <w:pPr>
              <w:jc w:val="right"/>
              <w:rPr>
                <w:sz w:val="18"/>
              </w:rPr>
            </w:pPr>
            <w:r w:rsidRPr="004B107A">
              <w:rPr>
                <w:sz w:val="18"/>
              </w:rPr>
              <w:t>100,0%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62,5%</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37,5%</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w:t>
            </w:r>
          </w:p>
        </w:tc>
      </w:tr>
      <w:bookmarkEnd w:id="33"/>
    </w:tbl>
    <w:p w:rsidR="004B107A" w:rsidRDefault="004B107A" w:rsidP="004B107A"/>
    <w:p w:rsidR="004B107A" w:rsidRDefault="004B107A" w:rsidP="004B107A">
      <w:pPr>
        <w:pStyle w:val="Caption"/>
        <w:keepNext/>
      </w:pPr>
      <w:r>
        <w:lastRenderedPageBreak/>
        <w:t xml:space="preserve">Figure </w:t>
      </w:r>
      <w:fldSimple w:instr=" SEQ Figure \* ARABIC ">
        <w:r>
          <w:rPr>
            <w:noProof/>
          </w:rPr>
          <w:t>6</w:t>
        </w:r>
      </w:fldSimple>
      <w:r>
        <w:t>. Usage of the activated OLS language courses</w:t>
      </w:r>
      <w:bookmarkStart w:id="34" w:name="InlineShape7"/>
      <w:bookmarkEnd w:id="34"/>
    </w:p>
    <w:p w:rsidR="004B107A" w:rsidRDefault="004B107A" w:rsidP="004B107A">
      <w:r>
        <w:rPr>
          <w:noProof/>
        </w:rPr>
        <w:drawing>
          <wp:inline distT="0" distB="0" distL="0" distR="0" wp14:anchorId="1F15045F" wp14:editId="045567D0">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4B107A" w:rsidRDefault="004B107A" w:rsidP="004B107A">
      <w:pPr>
        <w:sectPr w:rsidR="004B107A" w:rsidSect="004B107A">
          <w:type w:val="continuous"/>
          <w:pgSz w:w="11907" w:h="16839" w:code="9"/>
          <w:pgMar w:top="1440" w:right="1440" w:bottom="1440" w:left="1440" w:header="709" w:footer="709" w:gutter="0"/>
          <w:cols w:space="708"/>
          <w:docGrid w:linePitch="360"/>
        </w:sectPr>
      </w:pPr>
    </w:p>
    <w:p w:rsidR="004B107A" w:rsidRDefault="004B107A" w:rsidP="004B107A">
      <w:pPr>
        <w:pStyle w:val="Heading2"/>
      </w:pPr>
      <w:bookmarkStart w:id="35" w:name="subsec____Main__Language_vs_Local_Langua"/>
      <w:bookmarkStart w:id="36" w:name="_Toc476736707"/>
      <w:bookmarkEnd w:id="35"/>
      <w:r>
        <w:lastRenderedPageBreak/>
        <w:t>2. Main  Language vs Local Language</w:t>
      </w:r>
      <w:bookmarkEnd w:id="36"/>
    </w:p>
    <w:p w:rsidR="004B107A" w:rsidRDefault="004B107A" w:rsidP="004B107A">
      <w:pPr>
        <w:pStyle w:val="BodyText"/>
      </w:pPr>
      <w:r>
        <w:t>The next table shows the  participants' usage of the OLS language courses in the  language and the local language. Beneficiaries may invite  participants who have obtained a result between CEFR levels B2 and C2 in their first language assessment to follow a language course in their main language of instruction or work, or in the local language of the country, provided that this language is available in the OLS.</w:t>
      </w:r>
    </w:p>
    <w:p w:rsidR="004B107A" w:rsidRDefault="004B107A" w:rsidP="004B107A">
      <w:pPr>
        <w:pStyle w:val="Caption"/>
        <w:keepNext/>
      </w:pPr>
      <w:r>
        <w:t xml:space="preserve">Table </w:t>
      </w:r>
      <w:fldSimple w:instr=" SEQ Table \* ARABIC ">
        <w:r>
          <w:rPr>
            <w:noProof/>
          </w:rPr>
          <w:t>9</w:t>
        </w:r>
      </w:fldSimple>
      <w:r>
        <w:t>. Usage of language courses in the  languages and local languages</w:t>
      </w:r>
    </w:p>
    <w:tbl>
      <w:tblPr>
        <w:tblW w:w="0" w:type="auto"/>
        <w:tblCellMar>
          <w:left w:w="100" w:type="dxa"/>
          <w:right w:w="100" w:type="dxa"/>
        </w:tblCellMar>
        <w:tblLook w:val="0000" w:firstRow="0" w:lastRow="0" w:firstColumn="0" w:lastColumn="0" w:noHBand="0" w:noVBand="0"/>
      </w:tblPr>
      <w:tblGrid>
        <w:gridCol w:w="1160"/>
        <w:gridCol w:w="783"/>
        <w:gridCol w:w="1978"/>
        <w:gridCol w:w="1978"/>
        <w:gridCol w:w="1460"/>
      </w:tblGrid>
      <w:tr w:rsidR="004B107A" w:rsidRPr="004B107A" w:rsidTr="004B107A">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bookmarkStart w:id="37" w:name="Table28"/>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Total</w:t>
            </w:r>
            <w:r w:rsidRPr="004B107A">
              <w:rPr>
                <w:sz w:val="18"/>
              </w:rPr>
              <w:br/>
              <w:t>Used LC</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used LC in</w:t>
            </w:r>
            <w:r w:rsidRPr="004B107A">
              <w:rPr>
                <w:sz w:val="18"/>
              </w:rPr>
              <w:br/>
              <w:t xml:space="preserve"> mobility language</w:t>
            </w:r>
            <w:r w:rsidRPr="004B107A">
              <w:rPr>
                <w:sz w:val="18"/>
              </w:rPr>
              <w:br/>
              <w:t>for MPs with LA1 results</w:t>
            </w:r>
            <w:r w:rsidRPr="004B107A">
              <w:rPr>
                <w:sz w:val="18"/>
              </w:rPr>
              <w:br/>
              <w:t>B1 and less</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used LC in</w:t>
            </w:r>
            <w:r w:rsidRPr="004B107A">
              <w:rPr>
                <w:sz w:val="18"/>
              </w:rPr>
              <w:br/>
              <w:t xml:space="preserve"> mobility language</w:t>
            </w:r>
            <w:r w:rsidRPr="004B107A">
              <w:rPr>
                <w:sz w:val="18"/>
              </w:rPr>
              <w:br/>
              <w:t>for MPs with LA1 results</w:t>
            </w:r>
            <w:r w:rsidRPr="004B107A">
              <w:rPr>
                <w:sz w:val="18"/>
              </w:rPr>
              <w:br/>
              <w:t>B2 and more</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%used LC</w:t>
            </w:r>
            <w:r w:rsidRPr="004B107A">
              <w:rPr>
                <w:sz w:val="18"/>
              </w:rPr>
              <w:br/>
              <w:t xml:space="preserve"> in local language</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DE</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89</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61,8 %</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12,4 %</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25,8 %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EN</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517</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67,9 %</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32,1 %</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ES</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352</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91,8 %</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7,4 %</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0,9 %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FR</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5</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40,0 %</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60,0 %</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IT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120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80,8 %</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11,7 %</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7,5 %</w:t>
            </w:r>
          </w:p>
        </w:tc>
      </w:tr>
      <w:tr w:rsidR="004B107A" w:rsidRPr="004B107A" w:rsidTr="004B107A">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NL</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26</w:t>
            </w:r>
          </w:p>
        </w:tc>
        <w:tc>
          <w:tcPr>
            <w:tcW w:w="0" w:type="auto"/>
            <w:tcBorders>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50,0 %</w:t>
            </w:r>
          </w:p>
        </w:tc>
        <w:tc>
          <w:tcPr>
            <w:tcW w:w="0" w:type="auto"/>
            <w:tcBorders>
              <w:bottom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19,2 %</w:t>
            </w:r>
          </w:p>
        </w:tc>
        <w:tc>
          <w:tcPr>
            <w:tcW w:w="0" w:type="auto"/>
            <w:tcBorders>
              <w:left w:val="single" w:sz="4" w:space="0" w:color="auto"/>
              <w:bottom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30,8 %</w:t>
            </w:r>
          </w:p>
        </w:tc>
      </w:tr>
      <w:tr w:rsidR="004B107A" w:rsidRPr="004B107A" w:rsidTr="004B107A">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left"/>
              <w:rPr>
                <w:sz w:val="18"/>
              </w:rPr>
            </w:pPr>
            <w:r w:rsidRPr="004B107A">
              <w:rPr>
                <w:sz w:val="18"/>
              </w:rPr>
              <w:t>CS</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tcBorders>
              <w:top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0,0 %</w:t>
            </w:r>
          </w:p>
        </w:tc>
        <w:tc>
          <w:tcPr>
            <w:tcW w:w="0" w:type="auto"/>
            <w:tcBorders>
              <w:top w:val="single" w:sz="4" w:space="0" w:color="auto"/>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0,0 %</w:t>
            </w:r>
          </w:p>
        </w:tc>
        <w:tc>
          <w:tcPr>
            <w:tcW w:w="0" w:type="auto"/>
            <w:tcBorders>
              <w:top w:val="single" w:sz="4" w:space="0" w:color="auto"/>
              <w:left w:val="single" w:sz="4" w:space="0" w:color="auto"/>
            </w:tcBorders>
            <w:shd w:val="clear" w:color="auto" w:fill="auto"/>
            <w:vAlign w:val="center"/>
          </w:tcPr>
          <w:p w:rsidR="004B107A" w:rsidRPr="004B107A" w:rsidRDefault="004B107A" w:rsidP="004B107A">
            <w:pPr>
              <w:jc w:val="right"/>
              <w:rPr>
                <w:sz w:val="18"/>
              </w:rPr>
            </w:pPr>
            <w:r w:rsidRPr="004B107A">
              <w:rPr>
                <w:sz w:val="18"/>
              </w:rPr>
              <w:t>100,0 %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DA</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3</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33,3 %</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0,0 %</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66,7 %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EL</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1</w:t>
            </w:r>
          </w:p>
        </w:tc>
        <w:tc>
          <w:tcPr>
            <w:tcW w:w="0" w:type="auto"/>
            <w:shd w:val="clear" w:color="auto" w:fill="auto"/>
            <w:vAlign w:val="center"/>
          </w:tcPr>
          <w:p w:rsidR="004B107A" w:rsidRPr="004B107A" w:rsidRDefault="004B107A" w:rsidP="004B107A">
            <w:pPr>
              <w:jc w:val="right"/>
              <w:rPr>
                <w:sz w:val="18"/>
              </w:rPr>
            </w:pPr>
            <w:r w:rsidRPr="004B107A">
              <w:rPr>
                <w:sz w:val="18"/>
              </w:rPr>
              <w:t>100,0 %</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0,0 %</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PL</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2</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50,0 %</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0,0 %</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50,0 %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PT</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30</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70,0 %</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3,3 %</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26,7 %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SV</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8</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0,0 %</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0,0 %</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100,0 %</w:t>
            </w:r>
          </w:p>
        </w:tc>
      </w:tr>
      <w:tr w:rsidR="004B107A" w:rsidRPr="004B107A" w:rsidTr="004B107A">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B107A" w:rsidRPr="004B107A" w:rsidRDefault="004B107A" w:rsidP="004B107A">
            <w:pPr>
              <w:jc w:val="left"/>
              <w:rPr>
                <w:sz w:val="18"/>
              </w:rPr>
            </w:pPr>
            <w:r w:rsidRPr="004B107A">
              <w:rPr>
                <w:sz w:val="18"/>
              </w:rPr>
              <w:t>All languages</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1.154</w:t>
            </w:r>
          </w:p>
        </w:tc>
        <w:tc>
          <w:tcPr>
            <w:tcW w:w="0" w:type="auto"/>
            <w:shd w:val="clear" w:color="auto" w:fill="auto"/>
            <w:vAlign w:val="center"/>
          </w:tcPr>
          <w:p w:rsidR="004B107A" w:rsidRPr="004B107A" w:rsidRDefault="004B107A" w:rsidP="004B107A">
            <w:pPr>
              <w:jc w:val="right"/>
              <w:rPr>
                <w:sz w:val="18"/>
              </w:rPr>
            </w:pPr>
            <w:r w:rsidRPr="004B107A">
              <w:rPr>
                <w:sz w:val="18"/>
              </w:rPr>
              <w:t xml:space="preserve"> 75,0 %</w:t>
            </w:r>
          </w:p>
        </w:tc>
        <w:tc>
          <w:tcPr>
            <w:tcW w:w="0" w:type="auto"/>
            <w:tcBorders>
              <w:righ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19,6 %</w:t>
            </w:r>
          </w:p>
        </w:tc>
        <w:tc>
          <w:tcPr>
            <w:tcW w:w="0" w:type="auto"/>
            <w:tcBorders>
              <w:left w:val="single" w:sz="4" w:space="0" w:color="auto"/>
            </w:tcBorders>
            <w:shd w:val="clear" w:color="auto" w:fill="auto"/>
            <w:vAlign w:val="center"/>
          </w:tcPr>
          <w:p w:rsidR="004B107A" w:rsidRPr="004B107A" w:rsidRDefault="004B107A" w:rsidP="004B107A">
            <w:pPr>
              <w:jc w:val="right"/>
              <w:rPr>
                <w:sz w:val="18"/>
              </w:rPr>
            </w:pPr>
            <w:r w:rsidRPr="004B107A">
              <w:rPr>
                <w:sz w:val="18"/>
              </w:rPr>
              <w:t xml:space="preserve">  5,5 %</w:t>
            </w:r>
          </w:p>
        </w:tc>
      </w:tr>
      <w:bookmarkEnd w:id="37"/>
    </w:tbl>
    <w:p w:rsidR="004B107A" w:rsidRDefault="004B107A" w:rsidP="004B107A"/>
    <w:p w:rsidR="004B107A" w:rsidRDefault="004B107A" w:rsidP="004B107A">
      <w:pPr>
        <w:sectPr w:rsidR="004B107A" w:rsidSect="004B107A">
          <w:pgSz w:w="11907" w:h="16839" w:code="9"/>
          <w:pgMar w:top="1440" w:right="1440" w:bottom="1440" w:left="1440" w:header="709" w:footer="709" w:gutter="0"/>
          <w:cols w:space="708"/>
          <w:docGrid w:linePitch="360"/>
        </w:sectPr>
      </w:pPr>
    </w:p>
    <w:p w:rsidR="004B107A" w:rsidRDefault="004B107A" w:rsidP="004B107A">
      <w:pPr>
        <w:pStyle w:val="Heading1"/>
      </w:pPr>
      <w:bookmarkStart w:id="38" w:name="sec_IV__Erasmus__OLS_Dashboard"/>
      <w:bookmarkStart w:id="39" w:name="_Toc476736708"/>
      <w:bookmarkEnd w:id="38"/>
      <w:r>
        <w:lastRenderedPageBreak/>
        <w:t>IV. Erasmus+ OLS Dashboard</w:t>
      </w:r>
      <w:bookmarkEnd w:id="39"/>
    </w:p>
    <w:p w:rsidR="004B107A" w:rsidRDefault="004B107A" w:rsidP="004B107A">
      <w:pPr>
        <w:sectPr w:rsidR="004B107A" w:rsidSect="004B107A">
          <w:pgSz w:w="16839" w:h="11907" w:orient="landscape" w:code="9"/>
          <w:pgMar w:top="720" w:right="720" w:bottom="720" w:left="720" w:header="709" w:footer="709" w:gutter="0"/>
          <w:cols w:space="708"/>
          <w:docGrid w:linePitch="360"/>
        </w:sectPr>
      </w:pPr>
      <w:bookmarkStart w:id="40" w:name="InlineShape8"/>
      <w:bookmarkStart w:id="41" w:name="InlineShape9"/>
      <w:bookmarkStart w:id="42" w:name="InlineShape10"/>
      <w:bookmarkStart w:id="43" w:name="InlineShape11"/>
      <w:r>
        <w:rPr>
          <w:noProof/>
        </w:rPr>
        <w:drawing>
          <wp:inline distT="0" distB="0" distL="0" distR="0" wp14:anchorId="391E11DA" wp14:editId="519FA9CB">
            <wp:extent cx="50292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bookmarkEnd w:id="40"/>
      <w:r>
        <w:rPr>
          <w:noProof/>
        </w:rPr>
        <w:drawing>
          <wp:inline distT="0" distB="0" distL="0" distR="0" wp14:anchorId="7541A32A" wp14:editId="721D7AF7">
            <wp:extent cx="36576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bookmarkEnd w:id="41"/>
      <w:r>
        <w:rPr>
          <w:noProof/>
        </w:rPr>
        <w:drawing>
          <wp:inline distT="0" distB="0" distL="0" distR="0" wp14:anchorId="7003478B" wp14:editId="48DC9C67">
            <wp:extent cx="50292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bookmarkEnd w:id="42"/>
      <w:r>
        <w:rPr>
          <w:noProof/>
        </w:rPr>
        <w:drawing>
          <wp:inline distT="0" distB="0" distL="0" distR="0" wp14:anchorId="5268ED77" wp14:editId="1E6AC41A">
            <wp:extent cx="365760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bookmarkEnd w:id="43"/>
    </w:p>
    <w:p w:rsidR="004B107A" w:rsidRDefault="004B107A" w:rsidP="004B107A">
      <w:pPr>
        <w:pStyle w:val="Heading1"/>
      </w:pPr>
      <w:bookmarkStart w:id="44" w:name="sec_V__Glossary_of_Specific_Terminology_"/>
      <w:bookmarkStart w:id="45" w:name="_Toc476736709"/>
      <w:bookmarkEnd w:id="44"/>
      <w:r>
        <w:lastRenderedPageBreak/>
        <w:t>V. Glossary of Specific Terminology Used in this Statistical Report</w:t>
      </w:r>
      <w:bookmarkEnd w:id="45"/>
    </w:p>
    <w:p w:rsidR="004B107A" w:rsidRDefault="004B107A" w:rsidP="004B107A">
      <w:r>
        <w:rPr>
          <w:b/>
        </w:rPr>
        <w:t>Used OLS language assessment:</w:t>
      </w:r>
      <w:r>
        <w:t xml:space="preserve"> one OLS assessment is considered used once assessment 1 has been started (trigger: access to first question of the assessment).</w:t>
      </w:r>
    </w:p>
    <w:p w:rsidR="004B107A" w:rsidRDefault="004B107A" w:rsidP="004B107A">
      <w:r>
        <w:rPr>
          <w:b/>
        </w:rPr>
        <w:t>Used OLS language course:</w:t>
      </w:r>
      <w:r>
        <w:t xml:space="preserve"> one OLS course is considered used from the first access to the language course (trigger: 1st compatibility check of the course).</w:t>
      </w:r>
    </w:p>
    <w:p w:rsidR="004B107A" w:rsidRDefault="004B107A" w:rsidP="004B107A">
      <w:r>
        <w:rPr>
          <w:b/>
        </w:rPr>
        <w:t>Completed language assessments (Comp LA):</w:t>
      </w:r>
      <w:r>
        <w:t xml:space="preserve"> refers to completed language assessments for which a result is available to participants and Beneficiaries.</w:t>
      </w:r>
    </w:p>
    <w:p w:rsidR="004B107A" w:rsidRDefault="004B107A" w:rsidP="004B107A">
      <w:r>
        <w:rPr>
          <w:b/>
        </w:rPr>
        <w:t>Activated language courses (Act LC):</w:t>
      </w:r>
      <w:r>
        <w:t xml:space="preserve"> refers to language courses for which some activity has been recorded on the OLS course platform.</w:t>
      </w:r>
    </w:p>
    <w:p w:rsidR="004B107A" w:rsidRDefault="004B107A" w:rsidP="004B107A">
      <w:pPr>
        <w:sectPr w:rsidR="004B107A" w:rsidSect="004B107A">
          <w:pgSz w:w="11907" w:h="16839" w:code="9"/>
          <w:pgMar w:top="1440" w:right="1440" w:bottom="1440" w:left="1440" w:header="709" w:footer="709" w:gutter="0"/>
          <w:cols w:space="708"/>
          <w:docGrid w:linePitch="360"/>
        </w:sectPr>
      </w:pPr>
    </w:p>
    <w:p w:rsidR="004B107A" w:rsidRDefault="004B107A" w:rsidP="004B107A">
      <w:pPr>
        <w:pStyle w:val="Heading1"/>
      </w:pPr>
      <w:bookmarkStart w:id="46" w:name="sec_VI__Abbreviations_Used_in_the_Framew"/>
      <w:bookmarkStart w:id="47" w:name="_Toc476736710"/>
      <w:bookmarkEnd w:id="46"/>
      <w:r>
        <w:lastRenderedPageBreak/>
        <w:t>VI. Abbreviations Used in the Framework of the Erasmus+ OLS</w:t>
      </w:r>
      <w:bookmarkEnd w:id="47"/>
    </w:p>
    <w:tbl>
      <w:tblPr>
        <w:tblW w:w="0" w:type="auto"/>
        <w:tblCellMar>
          <w:left w:w="100" w:type="dxa"/>
          <w:right w:w="100" w:type="dxa"/>
        </w:tblCellMar>
        <w:tblLook w:val="0000" w:firstRow="0" w:lastRow="0" w:firstColumn="0" w:lastColumn="0" w:noHBand="0" w:noVBand="0"/>
      </w:tblPr>
      <w:tblGrid>
        <w:gridCol w:w="858"/>
        <w:gridCol w:w="6932"/>
      </w:tblGrid>
      <w:tr w:rsidR="004B107A" w:rsidRPr="004B107A" w:rsidTr="004B107A">
        <w:tblPrEx>
          <w:tblCellMar>
            <w:top w:w="0" w:type="dxa"/>
            <w:bottom w:w="0" w:type="dxa"/>
          </w:tblCellMar>
        </w:tblPrEx>
        <w:tc>
          <w:tcPr>
            <w:tcW w:w="0" w:type="auto"/>
            <w:tcBorders>
              <w:bottom w:val="single" w:sz="4" w:space="0" w:color="auto"/>
            </w:tcBorders>
            <w:shd w:val="clear" w:color="auto" w:fill="auto"/>
            <w:vAlign w:val="center"/>
          </w:tcPr>
          <w:p w:rsidR="004B107A" w:rsidRPr="004B107A" w:rsidRDefault="004B107A" w:rsidP="004B107A">
            <w:pPr>
              <w:jc w:val="left"/>
              <w:rPr>
                <w:sz w:val="18"/>
              </w:rPr>
            </w:pPr>
            <w:bookmarkStart w:id="48" w:name="Table36"/>
            <w:r w:rsidRPr="004B107A">
              <w:rPr>
                <w:sz w:val="18"/>
              </w:rPr>
              <w:t>Acronym</w:t>
            </w:r>
          </w:p>
        </w:tc>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Phrase</w:t>
            </w:r>
          </w:p>
        </w:tc>
      </w:tr>
      <w:tr w:rsidR="004B107A" w:rsidRPr="004B107A" w:rsidTr="004B107A">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Act LC</w:t>
            </w:r>
          </w:p>
        </w:tc>
        <w:tc>
          <w:tcPr>
            <w:tcW w:w="0" w:type="auto"/>
            <w:tcBorders>
              <w:top w:val="single" w:sz="4" w:space="0" w:color="auto"/>
            </w:tcBorders>
            <w:shd w:val="clear" w:color="auto" w:fill="auto"/>
            <w:vAlign w:val="center"/>
          </w:tcPr>
          <w:p w:rsidR="004B107A" w:rsidRPr="004B107A" w:rsidRDefault="004B107A" w:rsidP="004B107A">
            <w:pPr>
              <w:jc w:val="left"/>
              <w:rPr>
                <w:sz w:val="18"/>
              </w:rPr>
            </w:pPr>
            <w:r w:rsidRPr="004B107A">
              <w:rPr>
                <w:sz w:val="18"/>
              </w:rPr>
              <w:t>Active Language Course</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BEN</w:t>
            </w:r>
          </w:p>
        </w:tc>
        <w:tc>
          <w:tcPr>
            <w:tcW w:w="0" w:type="auto"/>
            <w:shd w:val="clear" w:color="auto" w:fill="auto"/>
            <w:vAlign w:val="center"/>
          </w:tcPr>
          <w:p w:rsidR="004B107A" w:rsidRPr="004B107A" w:rsidRDefault="004B107A" w:rsidP="004B107A">
            <w:pPr>
              <w:jc w:val="left"/>
              <w:rPr>
                <w:sz w:val="18"/>
              </w:rPr>
            </w:pPr>
            <w:r w:rsidRPr="004B107A">
              <w:rPr>
                <w:sz w:val="18"/>
              </w:rPr>
              <w:t>Beneficiary</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CEFR</w:t>
            </w:r>
          </w:p>
        </w:tc>
        <w:tc>
          <w:tcPr>
            <w:tcW w:w="0" w:type="auto"/>
            <w:shd w:val="clear" w:color="auto" w:fill="auto"/>
            <w:vAlign w:val="center"/>
          </w:tcPr>
          <w:p w:rsidR="004B107A" w:rsidRPr="004B107A" w:rsidRDefault="004B107A" w:rsidP="004B107A">
            <w:pPr>
              <w:jc w:val="left"/>
              <w:rPr>
                <w:sz w:val="18"/>
              </w:rPr>
            </w:pPr>
            <w:r w:rsidRPr="004B107A">
              <w:rPr>
                <w:sz w:val="18"/>
              </w:rPr>
              <w:t>Common European Framework of Reference for Languages: Learning, Teaching, Assessment</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Comp LA</w:t>
            </w:r>
          </w:p>
        </w:tc>
        <w:tc>
          <w:tcPr>
            <w:tcW w:w="0" w:type="auto"/>
            <w:shd w:val="clear" w:color="auto" w:fill="auto"/>
            <w:vAlign w:val="center"/>
          </w:tcPr>
          <w:p w:rsidR="004B107A" w:rsidRPr="004B107A" w:rsidRDefault="004B107A" w:rsidP="004B107A">
            <w:pPr>
              <w:jc w:val="left"/>
              <w:rPr>
                <w:sz w:val="18"/>
              </w:rPr>
            </w:pPr>
            <w:r w:rsidRPr="004B107A">
              <w:rPr>
                <w:sz w:val="18"/>
              </w:rPr>
              <w:t>Completed Language Assessment</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HE</w:t>
            </w:r>
          </w:p>
        </w:tc>
        <w:tc>
          <w:tcPr>
            <w:tcW w:w="0" w:type="auto"/>
            <w:shd w:val="clear" w:color="auto" w:fill="auto"/>
            <w:vAlign w:val="center"/>
          </w:tcPr>
          <w:p w:rsidR="004B107A" w:rsidRPr="004B107A" w:rsidRDefault="004B107A" w:rsidP="004B107A">
            <w:pPr>
              <w:jc w:val="left"/>
              <w:rPr>
                <w:sz w:val="18"/>
              </w:rPr>
            </w:pPr>
            <w:r w:rsidRPr="004B107A">
              <w:rPr>
                <w:sz w:val="18"/>
              </w:rPr>
              <w:t>Higher Education</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LA</w:t>
            </w:r>
          </w:p>
        </w:tc>
        <w:tc>
          <w:tcPr>
            <w:tcW w:w="0" w:type="auto"/>
            <w:shd w:val="clear" w:color="auto" w:fill="auto"/>
            <w:vAlign w:val="center"/>
          </w:tcPr>
          <w:p w:rsidR="004B107A" w:rsidRPr="004B107A" w:rsidRDefault="004B107A" w:rsidP="004B107A">
            <w:pPr>
              <w:jc w:val="left"/>
              <w:rPr>
                <w:sz w:val="18"/>
              </w:rPr>
            </w:pPr>
            <w:r w:rsidRPr="004B107A">
              <w:rPr>
                <w:sz w:val="18"/>
              </w:rPr>
              <w:t>Language Assessment</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LA1</w:t>
            </w:r>
          </w:p>
        </w:tc>
        <w:tc>
          <w:tcPr>
            <w:tcW w:w="0" w:type="auto"/>
            <w:shd w:val="clear" w:color="auto" w:fill="auto"/>
            <w:vAlign w:val="center"/>
          </w:tcPr>
          <w:p w:rsidR="004B107A" w:rsidRPr="004B107A" w:rsidRDefault="004B107A" w:rsidP="004B107A">
            <w:pPr>
              <w:jc w:val="left"/>
              <w:rPr>
                <w:sz w:val="18"/>
              </w:rPr>
            </w:pPr>
            <w:r w:rsidRPr="004B107A">
              <w:rPr>
                <w:sz w:val="18"/>
              </w:rPr>
              <w:t>First Language Assessment</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LA2</w:t>
            </w:r>
          </w:p>
        </w:tc>
        <w:tc>
          <w:tcPr>
            <w:tcW w:w="0" w:type="auto"/>
            <w:shd w:val="clear" w:color="auto" w:fill="auto"/>
            <w:vAlign w:val="center"/>
          </w:tcPr>
          <w:p w:rsidR="004B107A" w:rsidRPr="004B107A" w:rsidRDefault="004B107A" w:rsidP="004B107A">
            <w:pPr>
              <w:jc w:val="left"/>
              <w:rPr>
                <w:sz w:val="18"/>
              </w:rPr>
            </w:pPr>
            <w:r w:rsidRPr="004B107A">
              <w:rPr>
                <w:sz w:val="18"/>
              </w:rPr>
              <w:t>Second Language Assessment</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LC</w:t>
            </w:r>
          </w:p>
        </w:tc>
        <w:tc>
          <w:tcPr>
            <w:tcW w:w="0" w:type="auto"/>
            <w:shd w:val="clear" w:color="auto" w:fill="auto"/>
            <w:vAlign w:val="center"/>
          </w:tcPr>
          <w:p w:rsidR="004B107A" w:rsidRPr="004B107A" w:rsidRDefault="004B107A" w:rsidP="004B107A">
            <w:pPr>
              <w:jc w:val="left"/>
              <w:rPr>
                <w:sz w:val="18"/>
              </w:rPr>
            </w:pPr>
            <w:r w:rsidRPr="004B107A">
              <w:rPr>
                <w:sz w:val="18"/>
              </w:rPr>
              <w:t>Language Course</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MP</w:t>
            </w:r>
          </w:p>
        </w:tc>
        <w:tc>
          <w:tcPr>
            <w:tcW w:w="0" w:type="auto"/>
            <w:shd w:val="clear" w:color="auto" w:fill="auto"/>
            <w:vAlign w:val="center"/>
          </w:tcPr>
          <w:p w:rsidR="004B107A" w:rsidRPr="004B107A" w:rsidRDefault="004B107A" w:rsidP="004B107A">
            <w:pPr>
              <w:jc w:val="left"/>
              <w:rPr>
                <w:sz w:val="18"/>
              </w:rPr>
            </w:pPr>
            <w:r w:rsidRPr="004B107A">
              <w:rPr>
                <w:sz w:val="18"/>
              </w:rPr>
              <w:t>Mobility Participant</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NA</w:t>
            </w:r>
          </w:p>
        </w:tc>
        <w:tc>
          <w:tcPr>
            <w:tcW w:w="0" w:type="auto"/>
            <w:shd w:val="clear" w:color="auto" w:fill="auto"/>
            <w:vAlign w:val="center"/>
          </w:tcPr>
          <w:p w:rsidR="004B107A" w:rsidRPr="004B107A" w:rsidRDefault="004B107A" w:rsidP="004B107A">
            <w:pPr>
              <w:jc w:val="left"/>
              <w:rPr>
                <w:sz w:val="18"/>
              </w:rPr>
            </w:pPr>
            <w:r w:rsidRPr="004B107A">
              <w:rPr>
                <w:sz w:val="18"/>
              </w:rPr>
              <w:t>National Agency</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OLS</w:t>
            </w:r>
          </w:p>
        </w:tc>
        <w:tc>
          <w:tcPr>
            <w:tcW w:w="0" w:type="auto"/>
            <w:shd w:val="clear" w:color="auto" w:fill="auto"/>
            <w:vAlign w:val="center"/>
          </w:tcPr>
          <w:p w:rsidR="004B107A" w:rsidRPr="004B107A" w:rsidRDefault="004B107A" w:rsidP="004B107A">
            <w:pPr>
              <w:jc w:val="left"/>
              <w:rPr>
                <w:sz w:val="18"/>
              </w:rPr>
            </w:pPr>
            <w:r w:rsidRPr="004B107A">
              <w:rPr>
                <w:sz w:val="18"/>
              </w:rPr>
              <w:t>Online Linguistic Support</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VET</w:t>
            </w:r>
          </w:p>
        </w:tc>
        <w:tc>
          <w:tcPr>
            <w:tcW w:w="0" w:type="auto"/>
            <w:shd w:val="clear" w:color="auto" w:fill="auto"/>
            <w:vAlign w:val="center"/>
          </w:tcPr>
          <w:p w:rsidR="004B107A" w:rsidRPr="004B107A" w:rsidRDefault="004B107A" w:rsidP="004B107A">
            <w:pPr>
              <w:jc w:val="left"/>
              <w:rPr>
                <w:sz w:val="18"/>
              </w:rPr>
            </w:pPr>
            <w:r w:rsidRPr="004B107A">
              <w:rPr>
                <w:sz w:val="18"/>
              </w:rPr>
              <w:t>Vocational Education and Training</w:t>
            </w:r>
          </w:p>
        </w:tc>
      </w:tr>
      <w:tr w:rsidR="004B107A" w:rsidRPr="004B107A" w:rsidTr="004B107A">
        <w:tblPrEx>
          <w:tblCellMar>
            <w:top w:w="0" w:type="dxa"/>
            <w:bottom w:w="0" w:type="dxa"/>
          </w:tblCellMar>
        </w:tblPrEx>
        <w:trPr>
          <w:trHeight w:hRule="exact" w:val="280"/>
        </w:trPr>
        <w:tc>
          <w:tcPr>
            <w:tcW w:w="0" w:type="auto"/>
            <w:shd w:val="clear" w:color="auto" w:fill="auto"/>
            <w:vAlign w:val="center"/>
          </w:tcPr>
          <w:p w:rsidR="004B107A" w:rsidRPr="004B107A" w:rsidRDefault="004B107A" w:rsidP="004B107A">
            <w:pPr>
              <w:jc w:val="left"/>
              <w:rPr>
                <w:sz w:val="18"/>
              </w:rPr>
            </w:pPr>
            <w:r w:rsidRPr="004B107A">
              <w:rPr>
                <w:sz w:val="18"/>
              </w:rPr>
              <w:t>YOU</w:t>
            </w:r>
          </w:p>
        </w:tc>
        <w:tc>
          <w:tcPr>
            <w:tcW w:w="0" w:type="auto"/>
            <w:shd w:val="clear" w:color="auto" w:fill="auto"/>
            <w:vAlign w:val="center"/>
          </w:tcPr>
          <w:p w:rsidR="004B107A" w:rsidRPr="004B107A" w:rsidRDefault="004B107A" w:rsidP="004B107A">
            <w:pPr>
              <w:jc w:val="left"/>
              <w:rPr>
                <w:sz w:val="18"/>
              </w:rPr>
            </w:pPr>
            <w:r w:rsidRPr="004B107A">
              <w:rPr>
                <w:sz w:val="18"/>
              </w:rPr>
              <w:t>Youth</w:t>
            </w:r>
          </w:p>
        </w:tc>
      </w:tr>
      <w:tr w:rsidR="004B107A" w:rsidRPr="004B107A" w:rsidTr="004B107A">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OT</w:t>
            </w:r>
          </w:p>
        </w:tc>
        <w:tc>
          <w:tcPr>
            <w:tcW w:w="0" w:type="auto"/>
            <w:tcBorders>
              <w:bottom w:val="single" w:sz="4" w:space="0" w:color="auto"/>
            </w:tcBorders>
            <w:shd w:val="clear" w:color="auto" w:fill="auto"/>
            <w:vAlign w:val="center"/>
          </w:tcPr>
          <w:p w:rsidR="004B107A" w:rsidRPr="004B107A" w:rsidRDefault="004B107A" w:rsidP="004B107A">
            <w:pPr>
              <w:jc w:val="left"/>
              <w:rPr>
                <w:sz w:val="18"/>
              </w:rPr>
            </w:pPr>
            <w:r w:rsidRPr="004B107A">
              <w:rPr>
                <w:sz w:val="18"/>
              </w:rPr>
              <w:t>Languages introduced with the Call 2016: Czech, Danish, Greek, Polish, Portuguese, Swedish</w:t>
            </w:r>
          </w:p>
        </w:tc>
      </w:tr>
      <w:bookmarkEnd w:id="48"/>
    </w:tbl>
    <w:p w:rsidR="004B107A" w:rsidRDefault="004B107A" w:rsidP="004B107A"/>
    <w:p w:rsidR="004B107A" w:rsidRDefault="004B107A" w:rsidP="004B107A">
      <w:pPr>
        <w:sectPr w:rsidR="004B107A" w:rsidSect="004B107A">
          <w:type w:val="continuous"/>
          <w:pgSz w:w="11907" w:h="16839" w:code="9"/>
          <w:pgMar w:top="1440" w:right="1440" w:bottom="1440" w:left="1440" w:header="709" w:footer="709" w:gutter="0"/>
          <w:cols w:space="708"/>
          <w:docGrid w:linePitch="360"/>
        </w:sectPr>
      </w:pPr>
      <w:bookmarkStart w:id="49" w:name="R2wdEndmark"/>
      <w:bookmarkEnd w:id="49"/>
    </w:p>
    <w:p w:rsidR="004B107A" w:rsidRDefault="004B107A" w:rsidP="004B107A">
      <w:pPr>
        <w:pStyle w:val="Heading1"/>
      </w:pPr>
      <w:bookmarkStart w:id="50" w:name="sec_VII__CEFR_Levels"/>
      <w:bookmarkStart w:id="51" w:name="_Toc476736711"/>
      <w:bookmarkEnd w:id="50"/>
      <w:r>
        <w:lastRenderedPageBreak/>
        <w:t>VII. CEFR Levels</w:t>
      </w:r>
      <w:bookmarkEnd w:id="51"/>
    </w:p>
    <w:p w:rsidR="004B107A" w:rsidRPr="004B107A" w:rsidRDefault="004B107A" w:rsidP="004B107A">
      <w:bookmarkStart w:id="52" w:name="InlineShape12"/>
      <w:r>
        <w:rPr>
          <w:noProof/>
        </w:rPr>
        <w:drawing>
          <wp:inline distT="0" distB="0" distL="0" distR="0" wp14:anchorId="40F5A121" wp14:editId="2A333606">
            <wp:extent cx="3657600" cy="228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bookmarkStart w:id="53" w:name="_GoBack"/>
      <w:bookmarkEnd w:id="52"/>
      <w:bookmarkEnd w:id="53"/>
    </w:p>
    <w:sectPr w:rsidR="004B107A" w:rsidRPr="004B107A" w:rsidSect="004B107A">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7A" w:rsidRDefault="004B107A" w:rsidP="00ED50A1">
      <w:pPr>
        <w:spacing w:after="0" w:line="240" w:lineRule="auto"/>
      </w:pPr>
      <w:r>
        <w:separator/>
      </w:r>
    </w:p>
  </w:endnote>
  <w:endnote w:type="continuationSeparator" w:id="0">
    <w:p w:rsidR="004B107A" w:rsidRDefault="004B107A" w:rsidP="00ED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7A" w:rsidRDefault="004B107A" w:rsidP="00536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07A" w:rsidRDefault="004B107A" w:rsidP="004B10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7A" w:rsidRDefault="004B107A" w:rsidP="00536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4B107A" w:rsidRDefault="004B107A" w:rsidP="004B107A">
    <w:pPr>
      <w:pStyle w:val="Footer"/>
      <w:ind w:right="360"/>
    </w:pPr>
    <w:r>
      <w:t>Erasmus+ OLS Statistical Report For National Agencies</w:t>
    </w:r>
  </w:p>
  <w:p w:rsidR="00ED50A1" w:rsidRDefault="004B107A">
    <w:pPr>
      <w:pStyle w:val="Footer"/>
    </w:pPr>
    <w:r>
      <w:t>BE01 - Higher Education - Call2016 - From 01/04/2016 to 28/02/2017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7A" w:rsidRDefault="004B107A">
    <w:pPr>
      <w:pStyle w:val="Footer"/>
    </w:pPr>
    <w:r>
      <w:t>Consortium UCL-ALTISSIA-CLL</w:t>
    </w:r>
  </w:p>
  <w:p w:rsidR="004B107A" w:rsidRDefault="004B1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7A" w:rsidRDefault="004B107A" w:rsidP="00ED50A1">
      <w:pPr>
        <w:spacing w:after="0" w:line="240" w:lineRule="auto"/>
      </w:pPr>
      <w:r>
        <w:separator/>
      </w:r>
    </w:p>
  </w:footnote>
  <w:footnote w:type="continuationSeparator" w:id="0">
    <w:p w:rsidR="004B107A" w:rsidRDefault="004B107A" w:rsidP="00ED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7A" w:rsidRDefault="004B1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7A" w:rsidRDefault="004B1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7A" w:rsidRDefault="004B1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7A"/>
    <w:rsid w:val="00084635"/>
    <w:rsid w:val="004B107A"/>
    <w:rsid w:val="00916175"/>
    <w:rsid w:val="00AD5627"/>
    <w:rsid w:val="00DE027A"/>
    <w:rsid w:val="00E74BF5"/>
    <w:rsid w:val="00ED50A1"/>
    <w:rsid w:val="00F2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27"/>
    <w:pPr>
      <w:jc w:val="both"/>
    </w:pPr>
  </w:style>
  <w:style w:type="paragraph" w:styleId="Heading1">
    <w:name w:val="heading 1"/>
    <w:basedOn w:val="Normal"/>
    <w:next w:val="Normal"/>
    <w:link w:val="Heading1Char"/>
    <w:uiPriority w:val="9"/>
    <w:qFormat/>
    <w:rsid w:val="00AD5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0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627"/>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AD5627"/>
    <w:pPr>
      <w:spacing w:line="240" w:lineRule="auto"/>
    </w:pPr>
    <w:rPr>
      <w:b/>
      <w:bCs/>
      <w:color w:val="4F81BD" w:themeColor="accent1"/>
      <w:sz w:val="18"/>
      <w:szCs w:val="18"/>
    </w:rPr>
  </w:style>
  <w:style w:type="paragraph" w:styleId="Title">
    <w:name w:val="Title"/>
    <w:basedOn w:val="Normal"/>
    <w:next w:val="Normal"/>
    <w:link w:val="TitleChar"/>
    <w:uiPriority w:val="10"/>
    <w:qFormat/>
    <w:rsid w:val="00AD5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6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D50A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50A1"/>
  </w:style>
  <w:style w:type="paragraph" w:styleId="Footer">
    <w:name w:val="footer"/>
    <w:basedOn w:val="Normal"/>
    <w:link w:val="FooterChar"/>
    <w:uiPriority w:val="99"/>
    <w:unhideWhenUsed/>
    <w:rsid w:val="00ED50A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50A1"/>
  </w:style>
  <w:style w:type="paragraph" w:styleId="BalloonText">
    <w:name w:val="Balloon Text"/>
    <w:basedOn w:val="Normal"/>
    <w:link w:val="BalloonTextChar"/>
    <w:uiPriority w:val="99"/>
    <w:semiHidden/>
    <w:unhideWhenUsed/>
    <w:rsid w:val="004B1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7A"/>
    <w:rPr>
      <w:rFonts w:ascii="Tahoma" w:hAnsi="Tahoma" w:cs="Tahoma"/>
      <w:sz w:val="16"/>
      <w:szCs w:val="16"/>
    </w:rPr>
  </w:style>
  <w:style w:type="paragraph" w:styleId="BodyText">
    <w:name w:val="Body Text"/>
    <w:basedOn w:val="Normal"/>
    <w:link w:val="BodyTextChar"/>
    <w:uiPriority w:val="99"/>
    <w:unhideWhenUsed/>
    <w:rsid w:val="004B107A"/>
    <w:pPr>
      <w:spacing w:after="120"/>
    </w:pPr>
  </w:style>
  <w:style w:type="character" w:customStyle="1" w:styleId="BodyTextChar">
    <w:name w:val="Body Text Char"/>
    <w:basedOn w:val="DefaultParagraphFont"/>
    <w:link w:val="BodyText"/>
    <w:uiPriority w:val="99"/>
    <w:rsid w:val="004B107A"/>
  </w:style>
  <w:style w:type="character" w:customStyle="1" w:styleId="Heading2Char">
    <w:name w:val="Heading 2 Char"/>
    <w:basedOn w:val="DefaultParagraphFont"/>
    <w:link w:val="Heading2"/>
    <w:uiPriority w:val="9"/>
    <w:rsid w:val="004B107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B107A"/>
    <w:pPr>
      <w:spacing w:after="100"/>
    </w:pPr>
  </w:style>
  <w:style w:type="paragraph" w:styleId="TOC2">
    <w:name w:val="toc 2"/>
    <w:basedOn w:val="Normal"/>
    <w:next w:val="Normal"/>
    <w:autoRedefine/>
    <w:uiPriority w:val="39"/>
    <w:unhideWhenUsed/>
    <w:rsid w:val="004B107A"/>
    <w:pPr>
      <w:spacing w:after="100"/>
      <w:ind w:left="220"/>
    </w:pPr>
  </w:style>
  <w:style w:type="character" w:styleId="PageNumber">
    <w:name w:val="page number"/>
    <w:basedOn w:val="DefaultParagraphFont"/>
    <w:uiPriority w:val="99"/>
    <w:semiHidden/>
    <w:unhideWhenUsed/>
    <w:rsid w:val="004B1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27"/>
    <w:pPr>
      <w:jc w:val="both"/>
    </w:pPr>
  </w:style>
  <w:style w:type="paragraph" w:styleId="Heading1">
    <w:name w:val="heading 1"/>
    <w:basedOn w:val="Normal"/>
    <w:next w:val="Normal"/>
    <w:link w:val="Heading1Char"/>
    <w:uiPriority w:val="9"/>
    <w:qFormat/>
    <w:rsid w:val="00AD5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0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627"/>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AD5627"/>
    <w:pPr>
      <w:spacing w:line="240" w:lineRule="auto"/>
    </w:pPr>
    <w:rPr>
      <w:b/>
      <w:bCs/>
      <w:color w:val="4F81BD" w:themeColor="accent1"/>
      <w:sz w:val="18"/>
      <w:szCs w:val="18"/>
    </w:rPr>
  </w:style>
  <w:style w:type="paragraph" w:styleId="Title">
    <w:name w:val="Title"/>
    <w:basedOn w:val="Normal"/>
    <w:next w:val="Normal"/>
    <w:link w:val="TitleChar"/>
    <w:uiPriority w:val="10"/>
    <w:qFormat/>
    <w:rsid w:val="00AD5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6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D50A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50A1"/>
  </w:style>
  <w:style w:type="paragraph" w:styleId="Footer">
    <w:name w:val="footer"/>
    <w:basedOn w:val="Normal"/>
    <w:link w:val="FooterChar"/>
    <w:uiPriority w:val="99"/>
    <w:unhideWhenUsed/>
    <w:rsid w:val="00ED50A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50A1"/>
  </w:style>
  <w:style w:type="paragraph" w:styleId="BalloonText">
    <w:name w:val="Balloon Text"/>
    <w:basedOn w:val="Normal"/>
    <w:link w:val="BalloonTextChar"/>
    <w:uiPriority w:val="99"/>
    <w:semiHidden/>
    <w:unhideWhenUsed/>
    <w:rsid w:val="004B1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7A"/>
    <w:rPr>
      <w:rFonts w:ascii="Tahoma" w:hAnsi="Tahoma" w:cs="Tahoma"/>
      <w:sz w:val="16"/>
      <w:szCs w:val="16"/>
    </w:rPr>
  </w:style>
  <w:style w:type="paragraph" w:styleId="BodyText">
    <w:name w:val="Body Text"/>
    <w:basedOn w:val="Normal"/>
    <w:link w:val="BodyTextChar"/>
    <w:uiPriority w:val="99"/>
    <w:unhideWhenUsed/>
    <w:rsid w:val="004B107A"/>
    <w:pPr>
      <w:spacing w:after="120"/>
    </w:pPr>
  </w:style>
  <w:style w:type="character" w:customStyle="1" w:styleId="BodyTextChar">
    <w:name w:val="Body Text Char"/>
    <w:basedOn w:val="DefaultParagraphFont"/>
    <w:link w:val="BodyText"/>
    <w:uiPriority w:val="99"/>
    <w:rsid w:val="004B107A"/>
  </w:style>
  <w:style w:type="character" w:customStyle="1" w:styleId="Heading2Char">
    <w:name w:val="Heading 2 Char"/>
    <w:basedOn w:val="DefaultParagraphFont"/>
    <w:link w:val="Heading2"/>
    <w:uiPriority w:val="9"/>
    <w:rsid w:val="004B107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B107A"/>
    <w:pPr>
      <w:spacing w:after="100"/>
    </w:pPr>
  </w:style>
  <w:style w:type="paragraph" w:styleId="TOC2">
    <w:name w:val="toc 2"/>
    <w:basedOn w:val="Normal"/>
    <w:next w:val="Normal"/>
    <w:autoRedefine/>
    <w:uiPriority w:val="39"/>
    <w:unhideWhenUsed/>
    <w:rsid w:val="004B107A"/>
    <w:pPr>
      <w:spacing w:after="100"/>
      <w:ind w:left="220"/>
    </w:pPr>
  </w:style>
  <w:style w:type="character" w:styleId="PageNumber">
    <w:name w:val="page number"/>
    <w:basedOn w:val="DefaultParagraphFont"/>
    <w:uiPriority w:val="99"/>
    <w:semiHidden/>
    <w:unhideWhenUsed/>
    <w:rsid w:val="004B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2247</Words>
  <Characters>12814</Characters>
  <Application>Microsoft Office Word</Application>
  <DocSecurity>0</DocSecurity>
  <Lines>106</Lines>
  <Paragraphs>30</Paragraphs>
  <ScaleCrop>false</ScaleCrop>
  <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2017-03-08T10:42:00Z</dcterms:created>
  <dcterms:modified xsi:type="dcterms:W3CDTF">2017-03-08T10:42:00Z</dcterms:modified>
</cp:coreProperties>
</file>