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bookmarkStart w:id="0" w:name="_GoBack"/>
      <w:bookmarkEnd w:id="0"/>
      <w:r>
        <w:rPr>
          <w:noProof/>
          <w:lang w:val="fr-BE" w:eastAsia="fr-BE"/>
        </w:rPr>
        <w:drawing>
          <wp:inline distT="0" distB="0" distL="0" distR="0">
            <wp:extent cx="2286000"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86000" cy="914400"/>
                    </a:xfrm>
                    <a:prstGeom prst="rect">
                      <a:avLst/>
                    </a:prstGeom>
                  </pic:spPr>
                </pic:pic>
              </a:graphicData>
            </a:graphic>
          </wp:inline>
        </w:drawing>
      </w:r>
    </w:p>
    <w:p>
      <w:pPr>
        <w:jc w:val="center"/>
      </w:pPr>
    </w:p>
    <w:p>
      <w:pPr>
        <w:pStyle w:val="Titre"/>
      </w:pPr>
      <w:r>
        <w:t>Erasmus+ Online Linguistic Support</w:t>
      </w:r>
    </w:p>
    <w:p>
      <w:pPr>
        <w:pStyle w:val="Titre"/>
      </w:pPr>
      <w:r>
        <w:t>Statistical Report for National Agencies</w:t>
      </w:r>
      <w:bookmarkStart w:id="1" w:name="text_Erasmus__On"/>
      <w:bookmarkEnd w:id="1"/>
    </w:p>
    <w:p>
      <w:pPr>
        <w:jc w:val="center"/>
        <w:rPr>
          <w:b/>
          <w:sz w:val="28"/>
        </w:rPr>
      </w:pPr>
      <w:r>
        <w:rPr>
          <w:b/>
          <w:sz w:val="28"/>
        </w:rPr>
        <w:t>Agence francophone pour l’éducation et la formation tout au long de la vie - AEF -Europe - BE01</w:t>
      </w:r>
    </w:p>
    <w:p>
      <w:pPr>
        <w:jc w:val="center"/>
        <w:rPr>
          <w:b/>
          <w:sz w:val="28"/>
        </w:rPr>
      </w:pPr>
      <w:r>
        <w:rPr>
          <w:b/>
          <w:sz w:val="28"/>
        </w:rPr>
        <w:t>October 2014 to Date</w:t>
      </w:r>
    </w:p>
    <w:p>
      <w:pPr>
        <w:jc w:val="center"/>
        <w:rPr>
          <w:b/>
          <w:sz w:val="28"/>
        </w:rPr>
      </w:pPr>
      <w:r>
        <w:rPr>
          <w:b/>
          <w:sz w:val="28"/>
        </w:rPr>
        <w:t>Higher Education</w:t>
      </w:r>
    </w:p>
    <w:p>
      <w:pPr>
        <w:jc w:val="center"/>
        <w:rPr>
          <w:b/>
          <w:sz w:val="28"/>
        </w:rPr>
      </w:pPr>
      <w:r>
        <w:rPr>
          <w:b/>
          <w:sz w:val="28"/>
        </w:rPr>
        <w:t>Reporting Period: 01/10/2014 to 28/02/2017</w:t>
      </w:r>
    </w:p>
    <w:p>
      <w:pPr>
        <w:jc w:val="center"/>
        <w:rPr>
          <w:b/>
          <w:sz w:val="28"/>
        </w:rPr>
      </w:pPr>
    </w:p>
    <w:p>
      <w:pPr>
        <w:jc w:val="center"/>
        <w:rPr>
          <w:sz w:val="28"/>
        </w:rPr>
      </w:pPr>
      <w:r>
        <w:rPr>
          <w:sz w:val="28"/>
        </w:rPr>
        <w:t>March 2017</w:t>
      </w:r>
    </w:p>
    <w:p>
      <w:pPr>
        <w:pStyle w:val="Corpsdetexte"/>
      </w:pPr>
    </w:p>
    <w:p>
      <w:pPr>
        <w:pStyle w:val="Corpsdetexte"/>
      </w:pPr>
    </w:p>
    <w:p>
      <w:pPr>
        <w:pStyle w:val="Corpsdetexte"/>
      </w:pPr>
      <w:r>
        <w:t>Disclaimer: This document has been prepared on behalf of the European Commission; however, it reflects only the views of the authors.  The Commission will not be held responsible for any of the information contained herein.</w:t>
      </w:r>
    </w:p>
    <w:p>
      <w:pPr>
        <w:pStyle w:val="Corpsdetexte"/>
      </w:pPr>
      <w:r>
        <w:t>With the Call 2016, six languages (Czech, Danish, Greek, Polish, Portuguese, and Swedish) were added to the OLS. They are presented in separate blocks in the following tables and figures or shown summarized as the category OT.</w:t>
      </w:r>
    </w:p>
    <w:p>
      <w:pPr>
        <w:pStyle w:val="Corpsdetexte"/>
      </w:pPr>
      <w:r>
        <w:t>Please also note that the methodology for calculating language assessment results has been further refined, and as of April 2016 this methodology is applied to all language assessment results and the reports produced on the basis of these results. For further information, National Agencies shall contact EACEA-EPLUS-OLS@ec.europa.eu.</w:t>
      </w:r>
    </w:p>
    <w:p>
      <w:pPr>
        <w:jc w:val="left"/>
      </w:pPr>
      <w:r>
        <w:br w:type="page"/>
      </w:r>
    </w:p>
    <w:p>
      <w:pPr>
        <w:rPr>
          <w:b/>
        </w:rPr>
      </w:pPr>
      <w:r>
        <w:rPr>
          <w:b/>
        </w:rPr>
        <w:lastRenderedPageBreak/>
        <w:t>Contents</w:t>
      </w:r>
    </w:p>
    <w:p>
      <w:pPr>
        <w:pStyle w:val="TM1"/>
        <w:tabs>
          <w:tab w:val="right" w:leader="dot" w:pos="9017"/>
        </w:tabs>
        <w:rPr>
          <w:noProof/>
        </w:rPr>
      </w:pPr>
      <w:r>
        <w:rPr>
          <w:b/>
        </w:rPr>
        <w:fldChar w:fldCharType="begin"/>
      </w:r>
      <w:r>
        <w:rPr>
          <w:b/>
        </w:rPr>
        <w:instrText xml:space="preserve"> TOC \o "1-9" </w:instrText>
      </w:r>
      <w:r>
        <w:rPr>
          <w:b/>
        </w:rPr>
        <w:fldChar w:fldCharType="separate"/>
      </w:r>
      <w:r>
        <w:rPr>
          <w:noProof/>
        </w:rPr>
        <w:t>I. Erasmus+ OLS Usage</w:t>
      </w:r>
      <w:r>
        <w:rPr>
          <w:noProof/>
        </w:rPr>
        <w:tab/>
      </w:r>
      <w:r>
        <w:rPr>
          <w:noProof/>
        </w:rPr>
        <w:fldChar w:fldCharType="begin"/>
      </w:r>
      <w:r>
        <w:rPr>
          <w:noProof/>
        </w:rPr>
        <w:instrText xml:space="preserve"> PAGEREF _Toc476736927 \h </w:instrText>
      </w:r>
      <w:r>
        <w:rPr>
          <w:noProof/>
        </w:rPr>
      </w:r>
      <w:r>
        <w:rPr>
          <w:noProof/>
        </w:rPr>
        <w:fldChar w:fldCharType="separate"/>
      </w:r>
      <w:r>
        <w:rPr>
          <w:noProof/>
        </w:rPr>
        <w:t>3</w:t>
      </w:r>
      <w:r>
        <w:rPr>
          <w:noProof/>
        </w:rPr>
        <w:fldChar w:fldCharType="end"/>
      </w:r>
    </w:p>
    <w:p>
      <w:pPr>
        <w:pStyle w:val="TM2"/>
        <w:tabs>
          <w:tab w:val="right" w:leader="dot" w:pos="9017"/>
        </w:tabs>
        <w:rPr>
          <w:noProof/>
        </w:rPr>
      </w:pPr>
      <w:r>
        <w:rPr>
          <w:noProof/>
        </w:rPr>
        <w:t>1. OLS Accounted and Effective Usage</w:t>
      </w:r>
      <w:r>
        <w:rPr>
          <w:noProof/>
        </w:rPr>
        <w:tab/>
      </w:r>
      <w:r>
        <w:rPr>
          <w:noProof/>
        </w:rPr>
        <w:fldChar w:fldCharType="begin"/>
      </w:r>
      <w:r>
        <w:rPr>
          <w:noProof/>
        </w:rPr>
        <w:instrText xml:space="preserve"> PAGEREF _Toc476736928 \h </w:instrText>
      </w:r>
      <w:r>
        <w:rPr>
          <w:noProof/>
        </w:rPr>
      </w:r>
      <w:r>
        <w:rPr>
          <w:noProof/>
        </w:rPr>
        <w:fldChar w:fldCharType="separate"/>
      </w:r>
      <w:r>
        <w:rPr>
          <w:noProof/>
        </w:rPr>
        <w:t>3</w:t>
      </w:r>
      <w:r>
        <w:rPr>
          <w:noProof/>
        </w:rPr>
        <w:fldChar w:fldCharType="end"/>
      </w:r>
    </w:p>
    <w:p>
      <w:pPr>
        <w:pStyle w:val="TM2"/>
        <w:tabs>
          <w:tab w:val="right" w:leader="dot" w:pos="9017"/>
        </w:tabs>
        <w:rPr>
          <w:noProof/>
        </w:rPr>
      </w:pPr>
      <w:r>
        <w:rPr>
          <w:noProof/>
        </w:rPr>
        <w:t>2. OLS Usage per Month</w:t>
      </w:r>
      <w:r>
        <w:rPr>
          <w:noProof/>
        </w:rPr>
        <w:tab/>
      </w:r>
      <w:r>
        <w:rPr>
          <w:noProof/>
        </w:rPr>
        <w:fldChar w:fldCharType="begin"/>
      </w:r>
      <w:r>
        <w:rPr>
          <w:noProof/>
        </w:rPr>
        <w:instrText xml:space="preserve"> PAGEREF _Toc476736929 \h </w:instrText>
      </w:r>
      <w:r>
        <w:rPr>
          <w:noProof/>
        </w:rPr>
      </w:r>
      <w:r>
        <w:rPr>
          <w:noProof/>
        </w:rPr>
        <w:fldChar w:fldCharType="separate"/>
      </w:r>
      <w:r>
        <w:rPr>
          <w:noProof/>
        </w:rPr>
        <w:t>4</w:t>
      </w:r>
      <w:r>
        <w:rPr>
          <w:noProof/>
        </w:rPr>
        <w:fldChar w:fldCharType="end"/>
      </w:r>
    </w:p>
    <w:p>
      <w:pPr>
        <w:pStyle w:val="TM2"/>
        <w:tabs>
          <w:tab w:val="right" w:leader="dot" w:pos="9017"/>
        </w:tabs>
        <w:rPr>
          <w:noProof/>
        </w:rPr>
      </w:pPr>
      <w:r>
        <w:rPr>
          <w:noProof/>
        </w:rPr>
        <w:t>3. Total OLS Usage per Language</w:t>
      </w:r>
      <w:r>
        <w:rPr>
          <w:noProof/>
        </w:rPr>
        <w:tab/>
      </w:r>
      <w:r>
        <w:rPr>
          <w:noProof/>
        </w:rPr>
        <w:fldChar w:fldCharType="begin"/>
      </w:r>
      <w:r>
        <w:rPr>
          <w:noProof/>
        </w:rPr>
        <w:instrText xml:space="preserve"> PAGEREF _Toc476736930 \h </w:instrText>
      </w:r>
      <w:r>
        <w:rPr>
          <w:noProof/>
        </w:rPr>
      </w:r>
      <w:r>
        <w:rPr>
          <w:noProof/>
        </w:rPr>
        <w:fldChar w:fldCharType="separate"/>
      </w:r>
      <w:r>
        <w:rPr>
          <w:noProof/>
        </w:rPr>
        <w:t>6</w:t>
      </w:r>
      <w:r>
        <w:rPr>
          <w:noProof/>
        </w:rPr>
        <w:fldChar w:fldCharType="end"/>
      </w:r>
    </w:p>
    <w:p>
      <w:pPr>
        <w:pStyle w:val="TM1"/>
        <w:tabs>
          <w:tab w:val="right" w:leader="dot" w:pos="9017"/>
        </w:tabs>
        <w:rPr>
          <w:noProof/>
        </w:rPr>
      </w:pPr>
      <w:r>
        <w:rPr>
          <w:noProof/>
        </w:rPr>
        <w:t>II. Results of Erasmus+ OLS Language Assessments</w:t>
      </w:r>
      <w:r>
        <w:rPr>
          <w:noProof/>
        </w:rPr>
        <w:tab/>
      </w:r>
      <w:r>
        <w:rPr>
          <w:noProof/>
        </w:rPr>
        <w:fldChar w:fldCharType="begin"/>
      </w:r>
      <w:r>
        <w:rPr>
          <w:noProof/>
        </w:rPr>
        <w:instrText xml:space="preserve"> PAGEREF _Toc476736931 \h </w:instrText>
      </w:r>
      <w:r>
        <w:rPr>
          <w:noProof/>
        </w:rPr>
      </w:r>
      <w:r>
        <w:rPr>
          <w:noProof/>
        </w:rPr>
        <w:fldChar w:fldCharType="separate"/>
      </w:r>
      <w:r>
        <w:rPr>
          <w:noProof/>
        </w:rPr>
        <w:t>8</w:t>
      </w:r>
      <w:r>
        <w:rPr>
          <w:noProof/>
        </w:rPr>
        <w:fldChar w:fldCharType="end"/>
      </w:r>
    </w:p>
    <w:p>
      <w:pPr>
        <w:pStyle w:val="TM2"/>
        <w:tabs>
          <w:tab w:val="right" w:leader="dot" w:pos="9017"/>
        </w:tabs>
        <w:rPr>
          <w:noProof/>
        </w:rPr>
      </w:pPr>
      <w:r>
        <w:rPr>
          <w:noProof/>
        </w:rPr>
        <w:t>1. OLS Results for the First Language Assessment</w:t>
      </w:r>
      <w:r>
        <w:rPr>
          <w:noProof/>
        </w:rPr>
        <w:tab/>
      </w:r>
      <w:r>
        <w:rPr>
          <w:noProof/>
        </w:rPr>
        <w:fldChar w:fldCharType="begin"/>
      </w:r>
      <w:r>
        <w:rPr>
          <w:noProof/>
        </w:rPr>
        <w:instrText xml:space="preserve"> PAGEREF _Toc476736932 \h </w:instrText>
      </w:r>
      <w:r>
        <w:rPr>
          <w:noProof/>
        </w:rPr>
      </w:r>
      <w:r>
        <w:rPr>
          <w:noProof/>
        </w:rPr>
        <w:fldChar w:fldCharType="separate"/>
      </w:r>
      <w:r>
        <w:rPr>
          <w:noProof/>
        </w:rPr>
        <w:t>8</w:t>
      </w:r>
      <w:r>
        <w:rPr>
          <w:noProof/>
        </w:rPr>
        <w:fldChar w:fldCharType="end"/>
      </w:r>
    </w:p>
    <w:p>
      <w:pPr>
        <w:pStyle w:val="TM2"/>
        <w:tabs>
          <w:tab w:val="right" w:leader="dot" w:pos="9017"/>
        </w:tabs>
        <w:rPr>
          <w:noProof/>
        </w:rPr>
      </w:pPr>
      <w:r>
        <w:rPr>
          <w:noProof/>
        </w:rPr>
        <w:t>2. OLS Results for the Second Language Assessment</w:t>
      </w:r>
      <w:r>
        <w:rPr>
          <w:noProof/>
        </w:rPr>
        <w:tab/>
      </w:r>
      <w:r>
        <w:rPr>
          <w:noProof/>
        </w:rPr>
        <w:fldChar w:fldCharType="begin"/>
      </w:r>
      <w:r>
        <w:rPr>
          <w:noProof/>
        </w:rPr>
        <w:instrText xml:space="preserve"> PAGEREF _Toc476736933 \h </w:instrText>
      </w:r>
      <w:r>
        <w:rPr>
          <w:noProof/>
        </w:rPr>
      </w:r>
      <w:r>
        <w:rPr>
          <w:noProof/>
        </w:rPr>
        <w:fldChar w:fldCharType="separate"/>
      </w:r>
      <w:r>
        <w:rPr>
          <w:noProof/>
        </w:rPr>
        <w:t>9</w:t>
      </w:r>
      <w:r>
        <w:rPr>
          <w:noProof/>
        </w:rPr>
        <w:fldChar w:fldCharType="end"/>
      </w:r>
    </w:p>
    <w:p>
      <w:pPr>
        <w:pStyle w:val="TM2"/>
        <w:tabs>
          <w:tab w:val="right" w:leader="dot" w:pos="9017"/>
        </w:tabs>
        <w:rPr>
          <w:noProof/>
        </w:rPr>
      </w:pPr>
      <w:r>
        <w:rPr>
          <w:noProof/>
        </w:rPr>
        <w:t>3. Comparison of OLS Results for the First and Second Language Assessment</w:t>
      </w:r>
      <w:r>
        <w:rPr>
          <w:noProof/>
        </w:rPr>
        <w:tab/>
      </w:r>
      <w:r>
        <w:rPr>
          <w:noProof/>
        </w:rPr>
        <w:fldChar w:fldCharType="begin"/>
      </w:r>
      <w:r>
        <w:rPr>
          <w:noProof/>
        </w:rPr>
        <w:instrText xml:space="preserve"> PAGEREF _Toc476736934 \h </w:instrText>
      </w:r>
      <w:r>
        <w:rPr>
          <w:noProof/>
        </w:rPr>
      </w:r>
      <w:r>
        <w:rPr>
          <w:noProof/>
        </w:rPr>
        <w:fldChar w:fldCharType="separate"/>
      </w:r>
      <w:r>
        <w:rPr>
          <w:noProof/>
        </w:rPr>
        <w:t>10</w:t>
      </w:r>
      <w:r>
        <w:rPr>
          <w:noProof/>
        </w:rPr>
        <w:fldChar w:fldCharType="end"/>
      </w:r>
    </w:p>
    <w:p>
      <w:pPr>
        <w:pStyle w:val="TM1"/>
        <w:tabs>
          <w:tab w:val="right" w:leader="dot" w:pos="9017"/>
        </w:tabs>
        <w:rPr>
          <w:noProof/>
        </w:rPr>
      </w:pPr>
      <w:r>
        <w:rPr>
          <w:noProof/>
        </w:rPr>
        <w:t>III. Erasmus+ OLS Language Courses</w:t>
      </w:r>
      <w:r>
        <w:rPr>
          <w:noProof/>
        </w:rPr>
        <w:tab/>
      </w:r>
      <w:r>
        <w:rPr>
          <w:noProof/>
        </w:rPr>
        <w:fldChar w:fldCharType="begin"/>
      </w:r>
      <w:r>
        <w:rPr>
          <w:noProof/>
        </w:rPr>
        <w:instrText xml:space="preserve"> PAGEREF _Toc476736935 \h </w:instrText>
      </w:r>
      <w:r>
        <w:rPr>
          <w:noProof/>
        </w:rPr>
      </w:r>
      <w:r>
        <w:rPr>
          <w:noProof/>
        </w:rPr>
        <w:fldChar w:fldCharType="separate"/>
      </w:r>
      <w:r>
        <w:rPr>
          <w:noProof/>
        </w:rPr>
        <w:t>11</w:t>
      </w:r>
      <w:r>
        <w:rPr>
          <w:noProof/>
        </w:rPr>
        <w:fldChar w:fldCharType="end"/>
      </w:r>
    </w:p>
    <w:p>
      <w:pPr>
        <w:pStyle w:val="TM2"/>
        <w:tabs>
          <w:tab w:val="right" w:leader="dot" w:pos="9017"/>
        </w:tabs>
        <w:rPr>
          <w:noProof/>
        </w:rPr>
      </w:pPr>
      <w:r>
        <w:rPr>
          <w:noProof/>
        </w:rPr>
        <w:t>1. Usage of OLS Language Courses</w:t>
      </w:r>
      <w:r>
        <w:rPr>
          <w:noProof/>
        </w:rPr>
        <w:tab/>
      </w:r>
      <w:r>
        <w:rPr>
          <w:noProof/>
        </w:rPr>
        <w:fldChar w:fldCharType="begin"/>
      </w:r>
      <w:r>
        <w:rPr>
          <w:noProof/>
        </w:rPr>
        <w:instrText xml:space="preserve"> PAGEREF _Toc476736936 \h </w:instrText>
      </w:r>
      <w:r>
        <w:rPr>
          <w:noProof/>
        </w:rPr>
      </w:r>
      <w:r>
        <w:rPr>
          <w:noProof/>
        </w:rPr>
        <w:fldChar w:fldCharType="separate"/>
      </w:r>
      <w:r>
        <w:rPr>
          <w:noProof/>
        </w:rPr>
        <w:t>11</w:t>
      </w:r>
      <w:r>
        <w:rPr>
          <w:noProof/>
        </w:rPr>
        <w:fldChar w:fldCharType="end"/>
      </w:r>
    </w:p>
    <w:p>
      <w:pPr>
        <w:pStyle w:val="TM2"/>
        <w:tabs>
          <w:tab w:val="right" w:leader="dot" w:pos="9017"/>
        </w:tabs>
        <w:rPr>
          <w:noProof/>
        </w:rPr>
      </w:pPr>
      <w:r>
        <w:rPr>
          <w:noProof/>
        </w:rPr>
        <w:t>2. Main  Language vs Local Language</w:t>
      </w:r>
      <w:r>
        <w:rPr>
          <w:noProof/>
        </w:rPr>
        <w:tab/>
      </w:r>
      <w:r>
        <w:rPr>
          <w:noProof/>
        </w:rPr>
        <w:fldChar w:fldCharType="begin"/>
      </w:r>
      <w:r>
        <w:rPr>
          <w:noProof/>
        </w:rPr>
        <w:instrText xml:space="preserve"> PAGEREF _Toc476736937 \h </w:instrText>
      </w:r>
      <w:r>
        <w:rPr>
          <w:noProof/>
        </w:rPr>
      </w:r>
      <w:r>
        <w:rPr>
          <w:noProof/>
        </w:rPr>
        <w:fldChar w:fldCharType="separate"/>
      </w:r>
      <w:r>
        <w:rPr>
          <w:noProof/>
        </w:rPr>
        <w:t>13</w:t>
      </w:r>
      <w:r>
        <w:rPr>
          <w:noProof/>
        </w:rPr>
        <w:fldChar w:fldCharType="end"/>
      </w:r>
    </w:p>
    <w:p>
      <w:pPr>
        <w:pStyle w:val="TM1"/>
        <w:tabs>
          <w:tab w:val="right" w:leader="dot" w:pos="9017"/>
        </w:tabs>
        <w:rPr>
          <w:noProof/>
        </w:rPr>
      </w:pPr>
      <w:r>
        <w:rPr>
          <w:noProof/>
        </w:rPr>
        <w:t>IV. Erasmus+ OLS Dashboard</w:t>
      </w:r>
      <w:r>
        <w:rPr>
          <w:noProof/>
        </w:rPr>
        <w:tab/>
      </w:r>
      <w:r>
        <w:rPr>
          <w:noProof/>
        </w:rPr>
        <w:fldChar w:fldCharType="begin"/>
      </w:r>
      <w:r>
        <w:rPr>
          <w:noProof/>
        </w:rPr>
        <w:instrText xml:space="preserve"> PAGEREF _Toc476736938 \h </w:instrText>
      </w:r>
      <w:r>
        <w:rPr>
          <w:noProof/>
        </w:rPr>
      </w:r>
      <w:r>
        <w:rPr>
          <w:noProof/>
        </w:rPr>
        <w:fldChar w:fldCharType="separate"/>
      </w:r>
      <w:r>
        <w:rPr>
          <w:noProof/>
        </w:rPr>
        <w:t>14</w:t>
      </w:r>
      <w:r>
        <w:rPr>
          <w:noProof/>
        </w:rPr>
        <w:fldChar w:fldCharType="end"/>
      </w:r>
    </w:p>
    <w:p>
      <w:pPr>
        <w:pStyle w:val="TM1"/>
        <w:tabs>
          <w:tab w:val="right" w:leader="dot" w:pos="9017"/>
        </w:tabs>
        <w:rPr>
          <w:noProof/>
        </w:rPr>
      </w:pPr>
      <w:r>
        <w:rPr>
          <w:noProof/>
        </w:rPr>
        <w:t>V. Glossary of Specific Terminology Used in this Statistical Report</w:t>
      </w:r>
      <w:r>
        <w:rPr>
          <w:noProof/>
        </w:rPr>
        <w:tab/>
      </w:r>
      <w:r>
        <w:rPr>
          <w:noProof/>
        </w:rPr>
        <w:fldChar w:fldCharType="begin"/>
      </w:r>
      <w:r>
        <w:rPr>
          <w:noProof/>
        </w:rPr>
        <w:instrText xml:space="preserve"> PAGEREF _Toc476736939 \h </w:instrText>
      </w:r>
      <w:r>
        <w:rPr>
          <w:noProof/>
        </w:rPr>
      </w:r>
      <w:r>
        <w:rPr>
          <w:noProof/>
        </w:rPr>
        <w:fldChar w:fldCharType="separate"/>
      </w:r>
      <w:r>
        <w:rPr>
          <w:noProof/>
        </w:rPr>
        <w:t>15</w:t>
      </w:r>
      <w:r>
        <w:rPr>
          <w:noProof/>
        </w:rPr>
        <w:fldChar w:fldCharType="end"/>
      </w:r>
    </w:p>
    <w:p>
      <w:pPr>
        <w:pStyle w:val="TM1"/>
        <w:tabs>
          <w:tab w:val="right" w:leader="dot" w:pos="9017"/>
        </w:tabs>
        <w:rPr>
          <w:noProof/>
        </w:rPr>
      </w:pPr>
      <w:r>
        <w:rPr>
          <w:noProof/>
        </w:rPr>
        <w:t>VI. Abbreviations Used in the Framework of the Erasmus+ OLS</w:t>
      </w:r>
      <w:r>
        <w:rPr>
          <w:noProof/>
        </w:rPr>
        <w:tab/>
      </w:r>
      <w:r>
        <w:rPr>
          <w:noProof/>
        </w:rPr>
        <w:fldChar w:fldCharType="begin"/>
      </w:r>
      <w:r>
        <w:rPr>
          <w:noProof/>
        </w:rPr>
        <w:instrText xml:space="preserve"> PAGEREF _Toc476736940 \h </w:instrText>
      </w:r>
      <w:r>
        <w:rPr>
          <w:noProof/>
        </w:rPr>
      </w:r>
      <w:r>
        <w:rPr>
          <w:noProof/>
        </w:rPr>
        <w:fldChar w:fldCharType="separate"/>
      </w:r>
      <w:r>
        <w:rPr>
          <w:noProof/>
        </w:rPr>
        <w:t>15</w:t>
      </w:r>
      <w:r>
        <w:rPr>
          <w:noProof/>
        </w:rPr>
        <w:fldChar w:fldCharType="end"/>
      </w:r>
    </w:p>
    <w:p>
      <w:pPr>
        <w:pStyle w:val="TM1"/>
        <w:tabs>
          <w:tab w:val="right" w:leader="dot" w:pos="9017"/>
        </w:tabs>
        <w:rPr>
          <w:noProof/>
        </w:rPr>
      </w:pPr>
      <w:r>
        <w:rPr>
          <w:noProof/>
        </w:rPr>
        <w:t>VII. CEFR Levels</w:t>
      </w:r>
      <w:r>
        <w:rPr>
          <w:noProof/>
        </w:rPr>
        <w:tab/>
      </w:r>
      <w:r>
        <w:rPr>
          <w:noProof/>
        </w:rPr>
        <w:fldChar w:fldCharType="begin"/>
      </w:r>
      <w:r>
        <w:rPr>
          <w:noProof/>
        </w:rPr>
        <w:instrText xml:space="preserve"> PAGEREF _Toc476736941 \h </w:instrText>
      </w:r>
      <w:r>
        <w:rPr>
          <w:noProof/>
        </w:rPr>
      </w:r>
      <w:r>
        <w:rPr>
          <w:noProof/>
        </w:rPr>
        <w:fldChar w:fldCharType="separate"/>
      </w:r>
      <w:r>
        <w:rPr>
          <w:noProof/>
        </w:rPr>
        <w:t>16</w:t>
      </w:r>
      <w:r>
        <w:rPr>
          <w:noProof/>
        </w:rPr>
        <w:fldChar w:fldCharType="end"/>
      </w:r>
    </w:p>
    <w:p>
      <w:pPr>
        <w:rPr>
          <w:b/>
        </w:rPr>
        <w:sectPr>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9" w:footer="709" w:gutter="0"/>
          <w:cols w:space="708"/>
          <w:titlePg/>
          <w:docGrid w:linePitch="360"/>
        </w:sectPr>
      </w:pPr>
      <w:r>
        <w:rPr>
          <w:b/>
        </w:rPr>
        <w:fldChar w:fldCharType="end"/>
      </w:r>
    </w:p>
    <w:p>
      <w:pPr>
        <w:pStyle w:val="Titre1"/>
      </w:pPr>
      <w:bookmarkStart w:id="2" w:name="sec_I__Erasmus__OLS_Usage"/>
      <w:bookmarkStart w:id="3" w:name="_Toc476736927"/>
      <w:bookmarkEnd w:id="2"/>
      <w:r>
        <w:lastRenderedPageBreak/>
        <w:t>I. Erasmus+ OLS Usage</w:t>
      </w:r>
      <w:bookmarkEnd w:id="3"/>
    </w:p>
    <w:p>
      <w:pPr>
        <w:sectPr>
          <w:pgSz w:w="11907" w:h="16839" w:code="9"/>
          <w:pgMar w:top="1440" w:right="1440" w:bottom="1440" w:left="1440" w:header="709" w:footer="709" w:gutter="0"/>
          <w:cols w:space="708"/>
          <w:docGrid w:linePitch="360"/>
        </w:sectPr>
      </w:pPr>
    </w:p>
    <w:p>
      <w:pPr>
        <w:pStyle w:val="Titre2"/>
      </w:pPr>
      <w:bookmarkStart w:id="4" w:name="subsec____OLS_Accounted_and_Effective_Us"/>
      <w:bookmarkStart w:id="5" w:name="_Toc476736928"/>
      <w:bookmarkEnd w:id="4"/>
      <w:r>
        <w:t>1. OLS Accounted and Effective Usage</w:t>
      </w:r>
      <w:bookmarkEnd w:id="5"/>
    </w:p>
    <w:p>
      <w:pPr>
        <w:pStyle w:val="Corpsdetexte"/>
      </w:pPr>
      <w:r>
        <w:t>This table has two parts, left and right, which summarize license and effective usage of assessments and courses.</w:t>
      </w:r>
    </w:p>
    <w:p>
      <w:pPr>
        <w:pStyle w:val="Corpsdetexte"/>
      </w:pPr>
      <w:r>
        <w:t>The left part shows how many participants used (started) assessments or language courses, how many of them completed the assessments or actively worked with the language courses, and the percentages of participants who did not complete their assessments or who did not use their courses actively.</w:t>
      </w:r>
    </w:p>
    <w:p>
      <w:pPr>
        <w:pStyle w:val="Corpsdetexte"/>
      </w:pPr>
      <w:r>
        <w:t>The right part shows percentages (intake) of language assessment 2 or language courses with respect to assessment 1.</w:t>
      </w:r>
    </w:p>
    <w:p>
      <w:pPr>
        <w:pStyle w:val="Lgende"/>
        <w:keepNext/>
      </w:pPr>
      <w:r>
        <w:t xml:space="preserve">Table </w:t>
      </w:r>
      <w:fldSimple w:instr=" SEQ Table \* ARABIC ">
        <w:r>
          <w:rPr>
            <w:noProof/>
          </w:rPr>
          <w:t>1</w:t>
        </w:r>
      </w:fldSimple>
      <w:r>
        <w:t>. OLS effective usage: intake of language assessment 2 and courses</w:t>
      </w:r>
    </w:p>
    <w:tbl>
      <w:tblPr>
        <w:tblW w:w="0" w:type="auto"/>
        <w:tblCellMar>
          <w:left w:w="100" w:type="dxa"/>
          <w:right w:w="100" w:type="dxa"/>
        </w:tblCellMar>
        <w:tblLook w:val="0000" w:firstRow="0" w:lastRow="0" w:firstColumn="0" w:lastColumn="0" w:noHBand="0" w:noVBand="0"/>
      </w:tblPr>
      <w:tblGrid>
        <w:gridCol w:w="2838"/>
        <w:gridCol w:w="1196"/>
        <w:gridCol w:w="1196"/>
        <w:gridCol w:w="709"/>
        <w:gridCol w:w="206"/>
        <w:gridCol w:w="1196"/>
        <w:gridCol w:w="849"/>
      </w:tblGrid>
      <w:tr>
        <w:tc>
          <w:tcPr>
            <w:tcW w:w="0" w:type="auto"/>
            <w:tcBorders>
              <w:bottom w:val="single" w:sz="4" w:space="0" w:color="auto"/>
              <w:right w:val="single" w:sz="4" w:space="0" w:color="auto"/>
            </w:tcBorders>
            <w:shd w:val="clear" w:color="auto" w:fill="auto"/>
            <w:vAlign w:val="center"/>
          </w:tcPr>
          <w:p>
            <w:pPr>
              <w:jc w:val="left"/>
              <w:rPr>
                <w:sz w:val="18"/>
              </w:rPr>
            </w:pPr>
            <w:bookmarkStart w:id="6" w:name="Table5"/>
          </w:p>
        </w:tc>
        <w:tc>
          <w:tcPr>
            <w:tcW w:w="0" w:type="auto"/>
            <w:tcBorders>
              <w:left w:val="single" w:sz="4" w:space="0" w:color="auto"/>
              <w:bottom w:val="single" w:sz="4" w:space="0" w:color="auto"/>
            </w:tcBorders>
            <w:shd w:val="clear" w:color="auto" w:fill="auto"/>
            <w:vAlign w:val="center"/>
          </w:tcPr>
          <w:p>
            <w:pPr>
              <w:jc w:val="right"/>
              <w:rPr>
                <w:sz w:val="18"/>
              </w:rPr>
            </w:pPr>
            <w:r>
              <w:rPr>
                <w:sz w:val="18"/>
              </w:rPr>
              <w:t>Assessment 1</w:t>
            </w:r>
          </w:p>
        </w:tc>
        <w:tc>
          <w:tcPr>
            <w:tcW w:w="0" w:type="auto"/>
            <w:tcBorders>
              <w:bottom w:val="single" w:sz="4" w:space="0" w:color="auto"/>
            </w:tcBorders>
            <w:shd w:val="clear" w:color="auto" w:fill="auto"/>
            <w:vAlign w:val="center"/>
          </w:tcPr>
          <w:p>
            <w:pPr>
              <w:jc w:val="right"/>
              <w:rPr>
                <w:sz w:val="18"/>
              </w:rPr>
            </w:pPr>
            <w:r>
              <w:rPr>
                <w:sz w:val="18"/>
              </w:rPr>
              <w:t>Assessment 2</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Course</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w:t>
            </w:r>
          </w:p>
        </w:tc>
        <w:tc>
          <w:tcPr>
            <w:tcW w:w="0" w:type="auto"/>
            <w:tcBorders>
              <w:bottom w:val="single" w:sz="4" w:space="0" w:color="auto"/>
            </w:tcBorders>
            <w:shd w:val="clear" w:color="auto" w:fill="auto"/>
            <w:vAlign w:val="center"/>
          </w:tcPr>
          <w:p>
            <w:pPr>
              <w:jc w:val="right"/>
              <w:rPr>
                <w:sz w:val="18"/>
              </w:rPr>
            </w:pPr>
            <w:r>
              <w:rPr>
                <w:sz w:val="18"/>
              </w:rPr>
              <w:t>Intake of</w:t>
            </w:r>
            <w:r>
              <w:rPr>
                <w:sz w:val="18"/>
              </w:rPr>
              <w:br/>
              <w:t>Assessment 2</w:t>
            </w:r>
          </w:p>
        </w:tc>
        <w:tc>
          <w:tcPr>
            <w:tcW w:w="0" w:type="auto"/>
            <w:tcBorders>
              <w:bottom w:val="single" w:sz="4" w:space="0" w:color="auto"/>
            </w:tcBorders>
            <w:shd w:val="clear" w:color="auto" w:fill="auto"/>
            <w:vAlign w:val="center"/>
          </w:tcPr>
          <w:p>
            <w:pPr>
              <w:jc w:val="right"/>
              <w:rPr>
                <w:sz w:val="18"/>
              </w:rPr>
            </w:pPr>
            <w:r>
              <w:rPr>
                <w:sz w:val="18"/>
              </w:rPr>
              <w:t>Intake of</w:t>
            </w:r>
            <w:r>
              <w:rPr>
                <w:sz w:val="18"/>
              </w:rPr>
              <w:br/>
              <w:t>Courses</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Total</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7.653</w:t>
            </w:r>
          </w:p>
        </w:tc>
        <w:tc>
          <w:tcPr>
            <w:tcW w:w="0" w:type="auto"/>
            <w:tcBorders>
              <w:top w:val="single" w:sz="4" w:space="0" w:color="auto"/>
            </w:tcBorders>
            <w:shd w:val="clear" w:color="auto" w:fill="auto"/>
            <w:vAlign w:val="center"/>
          </w:tcPr>
          <w:p>
            <w:pPr>
              <w:jc w:val="right"/>
              <w:rPr>
                <w:sz w:val="18"/>
              </w:rPr>
            </w:pPr>
            <w:r>
              <w:rPr>
                <w:sz w:val="18"/>
              </w:rPr>
              <w:t>5.398</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2.940</w:t>
            </w:r>
          </w:p>
        </w:tc>
        <w:tc>
          <w:tcPr>
            <w:tcW w:w="0" w:type="auto"/>
            <w:tcBorders>
              <w:top w:val="single" w:sz="4" w:space="0" w:color="auto"/>
              <w:left w:val="single" w:sz="4" w:space="0" w:color="auto"/>
            </w:tcBorders>
            <w:shd w:val="clear" w:color="auto" w:fill="auto"/>
            <w:vAlign w:val="center"/>
          </w:tcPr>
          <w:p>
            <w:pPr>
              <w:jc w:val="right"/>
              <w:rPr>
                <w:sz w:val="18"/>
              </w:rPr>
            </w:pPr>
          </w:p>
        </w:tc>
        <w:tc>
          <w:tcPr>
            <w:tcW w:w="0" w:type="auto"/>
            <w:tcBorders>
              <w:top w:val="single" w:sz="4" w:space="0" w:color="auto"/>
            </w:tcBorders>
            <w:shd w:val="clear" w:color="auto" w:fill="auto"/>
            <w:vAlign w:val="center"/>
          </w:tcPr>
          <w:p>
            <w:pPr>
              <w:jc w:val="right"/>
              <w:rPr>
                <w:sz w:val="18"/>
              </w:rPr>
            </w:pPr>
            <w:r>
              <w:rPr>
                <w:sz w:val="18"/>
              </w:rPr>
              <w:t>70,5 %</w:t>
            </w:r>
          </w:p>
        </w:tc>
        <w:tc>
          <w:tcPr>
            <w:tcW w:w="0" w:type="auto"/>
            <w:tcBorders>
              <w:top w:val="single" w:sz="4" w:space="0" w:color="auto"/>
            </w:tcBorders>
            <w:shd w:val="clear" w:color="auto" w:fill="auto"/>
            <w:vAlign w:val="center"/>
          </w:tcPr>
          <w:p>
            <w:pPr>
              <w:jc w:val="right"/>
              <w:rPr>
                <w:sz w:val="18"/>
              </w:rPr>
            </w:pPr>
            <w:r>
              <w:rPr>
                <w:sz w:val="18"/>
              </w:rPr>
              <w:t>38,4 %</w:t>
            </w:r>
          </w:p>
        </w:tc>
      </w:tr>
      <w:tr>
        <w:trPr>
          <w:trHeight w:hRule="exact" w:val="280"/>
        </w:trPr>
        <w:tc>
          <w:tcPr>
            <w:tcW w:w="0" w:type="auto"/>
            <w:tcBorders>
              <w:bottom w:val="single" w:sz="4" w:space="0" w:color="auto"/>
              <w:right w:val="single" w:sz="4" w:space="0" w:color="auto"/>
            </w:tcBorders>
            <w:shd w:val="clear" w:color="auto" w:fill="auto"/>
            <w:vAlign w:val="center"/>
          </w:tcPr>
          <w:p>
            <w:pPr>
              <w:jc w:val="left"/>
              <w:rPr>
                <w:sz w:val="18"/>
              </w:rPr>
            </w:pPr>
            <w:r>
              <w:rPr>
                <w:sz w:val="18"/>
              </w:rPr>
              <w:t>Completed LAs/Activated LCs</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7.615</w:t>
            </w:r>
          </w:p>
        </w:tc>
        <w:tc>
          <w:tcPr>
            <w:tcW w:w="0" w:type="auto"/>
            <w:tcBorders>
              <w:bottom w:val="single" w:sz="4" w:space="0" w:color="auto"/>
            </w:tcBorders>
            <w:shd w:val="clear" w:color="auto" w:fill="auto"/>
            <w:vAlign w:val="center"/>
          </w:tcPr>
          <w:p>
            <w:pPr>
              <w:jc w:val="right"/>
              <w:rPr>
                <w:sz w:val="18"/>
              </w:rPr>
            </w:pPr>
            <w:r>
              <w:rPr>
                <w:sz w:val="18"/>
              </w:rPr>
              <w:t>5.375</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2.899</w:t>
            </w:r>
          </w:p>
        </w:tc>
        <w:tc>
          <w:tcPr>
            <w:tcW w:w="0" w:type="auto"/>
            <w:tcBorders>
              <w:left w:val="single" w:sz="4" w:space="0" w:color="auto"/>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70,6 %</w:t>
            </w:r>
          </w:p>
        </w:tc>
        <w:tc>
          <w:tcPr>
            <w:tcW w:w="0" w:type="auto"/>
            <w:tcBorders>
              <w:bottom w:val="single" w:sz="4" w:space="0" w:color="auto"/>
            </w:tcBorders>
            <w:shd w:val="clear" w:color="auto" w:fill="auto"/>
            <w:vAlign w:val="center"/>
          </w:tcPr>
          <w:p>
            <w:pPr>
              <w:jc w:val="right"/>
              <w:rPr>
                <w:sz w:val="18"/>
              </w:rPr>
            </w:pPr>
            <w:r>
              <w:rPr>
                <w:sz w:val="18"/>
              </w:rPr>
              <w:t>38,1 %</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 not Completed or Activated/Total</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0,5 %</w:t>
            </w:r>
          </w:p>
        </w:tc>
        <w:tc>
          <w:tcPr>
            <w:tcW w:w="0" w:type="auto"/>
            <w:tcBorders>
              <w:top w:val="single" w:sz="4" w:space="0" w:color="auto"/>
            </w:tcBorders>
            <w:shd w:val="clear" w:color="auto" w:fill="auto"/>
            <w:vAlign w:val="center"/>
          </w:tcPr>
          <w:p>
            <w:pPr>
              <w:jc w:val="right"/>
              <w:rPr>
                <w:sz w:val="18"/>
              </w:rPr>
            </w:pPr>
            <w:r>
              <w:rPr>
                <w:sz w:val="18"/>
              </w:rPr>
              <w:t>0,4 %</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1,4 %</w:t>
            </w:r>
          </w:p>
        </w:tc>
        <w:tc>
          <w:tcPr>
            <w:tcW w:w="0" w:type="auto"/>
            <w:tcBorders>
              <w:top w:val="single" w:sz="4" w:space="0" w:color="auto"/>
              <w:left w:val="single" w:sz="4" w:space="0" w:color="auto"/>
            </w:tcBorders>
            <w:shd w:val="clear" w:color="auto" w:fill="auto"/>
            <w:vAlign w:val="center"/>
          </w:tcPr>
          <w:p>
            <w:pPr>
              <w:jc w:val="right"/>
              <w:rPr>
                <w:sz w:val="18"/>
              </w:rPr>
            </w:pPr>
          </w:p>
        </w:tc>
        <w:tc>
          <w:tcPr>
            <w:tcW w:w="0" w:type="auto"/>
            <w:tcBorders>
              <w:top w:val="single" w:sz="4" w:space="0" w:color="auto"/>
            </w:tcBorders>
            <w:shd w:val="clear" w:color="auto" w:fill="auto"/>
            <w:vAlign w:val="center"/>
          </w:tcPr>
          <w:p>
            <w:pPr>
              <w:jc w:val="right"/>
              <w:rPr>
                <w:sz w:val="18"/>
              </w:rPr>
            </w:pPr>
          </w:p>
        </w:tc>
        <w:tc>
          <w:tcPr>
            <w:tcW w:w="0" w:type="auto"/>
            <w:tcBorders>
              <w:top w:val="single" w:sz="4" w:space="0" w:color="auto"/>
            </w:tcBorders>
            <w:shd w:val="clear" w:color="auto" w:fill="auto"/>
            <w:vAlign w:val="center"/>
          </w:tcPr>
          <w:p>
            <w:pPr>
              <w:jc w:val="right"/>
              <w:rPr>
                <w:sz w:val="18"/>
              </w:rPr>
            </w:pPr>
          </w:p>
        </w:tc>
      </w:tr>
      <w:bookmarkEnd w:id="6"/>
    </w:tbl>
    <w:p/>
    <w:p>
      <w:pPr>
        <w:sectPr>
          <w:type w:val="continuous"/>
          <w:pgSz w:w="11907" w:h="16839" w:code="9"/>
          <w:pgMar w:top="1440" w:right="1440" w:bottom="1440" w:left="1440" w:header="709" w:footer="709" w:gutter="0"/>
          <w:cols w:space="708"/>
          <w:docGrid w:linePitch="360"/>
        </w:sectPr>
      </w:pPr>
    </w:p>
    <w:p>
      <w:pPr>
        <w:pStyle w:val="Titre2"/>
      </w:pPr>
      <w:bookmarkStart w:id="7" w:name="subsec____OLS_Usage_per_Month"/>
      <w:bookmarkStart w:id="8" w:name="_Toc476736929"/>
      <w:bookmarkEnd w:id="7"/>
      <w:r>
        <w:lastRenderedPageBreak/>
        <w:t>2. OLS Usage per Month</w:t>
      </w:r>
      <w:bookmarkEnd w:id="8"/>
    </w:p>
    <w:p>
      <w:pPr>
        <w:pStyle w:val="Corpsdetexte"/>
      </w:pPr>
      <w:r>
        <w:t>This table/graph gives an overview on how many language assessments and courses have been used per month.</w:t>
      </w:r>
    </w:p>
    <w:p>
      <w:pPr>
        <w:rPr>
          <w:i/>
        </w:rPr>
      </w:pPr>
      <w:r>
        <w:rPr>
          <w:i/>
        </w:rPr>
        <w:t>NB: numbers given in this table/figure correspond to the number of  participants who have started the OLS language assessments and/ or have accessed the OLS language courses.</w:t>
      </w:r>
    </w:p>
    <w:p>
      <w:pPr>
        <w:pStyle w:val="Lgende"/>
        <w:keepNext/>
      </w:pPr>
      <w:r>
        <w:t xml:space="preserve">Table </w:t>
      </w:r>
      <w:fldSimple w:instr=" SEQ Table \* ARABIC ">
        <w:r>
          <w:rPr>
            <w:noProof/>
          </w:rPr>
          <w:t>2</w:t>
        </w:r>
      </w:fldSimple>
      <w:r>
        <w:t>. OLS usage per month</w:t>
      </w:r>
    </w:p>
    <w:tbl>
      <w:tblPr>
        <w:tblW w:w="0" w:type="auto"/>
        <w:tblCellMar>
          <w:left w:w="100" w:type="dxa"/>
          <w:right w:w="100" w:type="dxa"/>
        </w:tblCellMar>
        <w:tblLook w:val="0000" w:firstRow="0" w:lastRow="0" w:firstColumn="0" w:lastColumn="0" w:noHBand="0" w:noVBand="0"/>
      </w:tblPr>
      <w:tblGrid>
        <w:gridCol w:w="803"/>
        <w:gridCol w:w="1219"/>
        <w:gridCol w:w="1219"/>
        <w:gridCol w:w="1219"/>
        <w:gridCol w:w="1219"/>
        <w:gridCol w:w="730"/>
        <w:gridCol w:w="1029"/>
        <w:gridCol w:w="1777"/>
      </w:tblGrid>
      <w:tr>
        <w:tc>
          <w:tcPr>
            <w:tcW w:w="0" w:type="auto"/>
            <w:tcBorders>
              <w:bottom w:val="single" w:sz="4" w:space="0" w:color="auto"/>
            </w:tcBorders>
            <w:shd w:val="clear" w:color="auto" w:fill="auto"/>
            <w:vAlign w:val="center"/>
          </w:tcPr>
          <w:p>
            <w:pPr>
              <w:jc w:val="left"/>
              <w:rPr>
                <w:sz w:val="18"/>
              </w:rPr>
            </w:pPr>
            <w:bookmarkStart w:id="9" w:name="Table7"/>
          </w:p>
        </w:tc>
        <w:tc>
          <w:tcPr>
            <w:tcW w:w="0" w:type="auto"/>
            <w:tcBorders>
              <w:bottom w:val="single" w:sz="4" w:space="0" w:color="auto"/>
            </w:tcBorders>
            <w:shd w:val="clear" w:color="auto" w:fill="auto"/>
            <w:vAlign w:val="center"/>
          </w:tcPr>
          <w:p>
            <w:pPr>
              <w:jc w:val="right"/>
              <w:rPr>
                <w:sz w:val="18"/>
              </w:rPr>
            </w:pPr>
            <w:r>
              <w:rPr>
                <w:sz w:val="18"/>
              </w:rPr>
              <w:t>Total</w:t>
            </w:r>
            <w:r>
              <w:rPr>
                <w:sz w:val="18"/>
              </w:rPr>
              <w:br/>
              <w:t xml:space="preserve"> assessment 1</w:t>
            </w:r>
          </w:p>
        </w:tc>
        <w:tc>
          <w:tcPr>
            <w:tcW w:w="0" w:type="auto"/>
            <w:tcBorders>
              <w:bottom w:val="single" w:sz="4" w:space="0" w:color="auto"/>
            </w:tcBorders>
            <w:shd w:val="clear" w:color="auto" w:fill="auto"/>
            <w:vAlign w:val="center"/>
          </w:tcPr>
          <w:p>
            <w:pPr>
              <w:jc w:val="right"/>
              <w:rPr>
                <w:sz w:val="18"/>
              </w:rPr>
            </w:pPr>
            <w:r>
              <w:rPr>
                <w:sz w:val="18"/>
              </w:rPr>
              <w:t>Cumulative</w:t>
            </w:r>
            <w:r>
              <w:rPr>
                <w:sz w:val="18"/>
              </w:rPr>
              <w:br/>
              <w:t xml:space="preserve"> assessment 1</w:t>
            </w:r>
          </w:p>
        </w:tc>
        <w:tc>
          <w:tcPr>
            <w:tcW w:w="0" w:type="auto"/>
            <w:tcBorders>
              <w:bottom w:val="single" w:sz="4" w:space="0" w:color="auto"/>
            </w:tcBorders>
            <w:shd w:val="clear" w:color="auto" w:fill="auto"/>
            <w:vAlign w:val="center"/>
          </w:tcPr>
          <w:p>
            <w:pPr>
              <w:jc w:val="right"/>
              <w:rPr>
                <w:sz w:val="18"/>
              </w:rPr>
            </w:pPr>
            <w:r>
              <w:rPr>
                <w:sz w:val="18"/>
              </w:rPr>
              <w:t>Total</w:t>
            </w:r>
            <w:r>
              <w:rPr>
                <w:sz w:val="18"/>
              </w:rPr>
              <w:br/>
              <w:t xml:space="preserve"> assessment 2</w:t>
            </w:r>
          </w:p>
        </w:tc>
        <w:tc>
          <w:tcPr>
            <w:tcW w:w="0" w:type="auto"/>
            <w:tcBorders>
              <w:bottom w:val="single" w:sz="4" w:space="0" w:color="auto"/>
            </w:tcBorders>
            <w:shd w:val="clear" w:color="auto" w:fill="auto"/>
            <w:vAlign w:val="center"/>
          </w:tcPr>
          <w:p>
            <w:pPr>
              <w:jc w:val="right"/>
              <w:rPr>
                <w:sz w:val="18"/>
              </w:rPr>
            </w:pPr>
            <w:r>
              <w:rPr>
                <w:sz w:val="18"/>
              </w:rPr>
              <w:t>Cumulative</w:t>
            </w:r>
            <w:r>
              <w:rPr>
                <w:sz w:val="18"/>
              </w:rPr>
              <w:br/>
              <w:t xml:space="preserve"> assessment 2</w:t>
            </w:r>
          </w:p>
        </w:tc>
        <w:tc>
          <w:tcPr>
            <w:tcW w:w="0" w:type="auto"/>
            <w:tcBorders>
              <w:bottom w:val="single" w:sz="4" w:space="0" w:color="auto"/>
            </w:tcBorders>
            <w:shd w:val="clear" w:color="auto" w:fill="auto"/>
            <w:vAlign w:val="center"/>
          </w:tcPr>
          <w:p>
            <w:pPr>
              <w:jc w:val="right"/>
              <w:rPr>
                <w:sz w:val="18"/>
              </w:rPr>
            </w:pPr>
            <w:r>
              <w:rPr>
                <w:sz w:val="18"/>
              </w:rPr>
              <w:t>Total</w:t>
            </w:r>
            <w:r>
              <w:rPr>
                <w:sz w:val="18"/>
              </w:rPr>
              <w:br/>
              <w:t xml:space="preserve"> course</w:t>
            </w:r>
          </w:p>
        </w:tc>
        <w:tc>
          <w:tcPr>
            <w:tcW w:w="0" w:type="auto"/>
            <w:tcBorders>
              <w:bottom w:val="single" w:sz="4" w:space="0" w:color="auto"/>
            </w:tcBorders>
            <w:shd w:val="clear" w:color="auto" w:fill="auto"/>
            <w:vAlign w:val="center"/>
          </w:tcPr>
          <w:p>
            <w:pPr>
              <w:jc w:val="right"/>
              <w:rPr>
                <w:sz w:val="18"/>
              </w:rPr>
            </w:pPr>
            <w:r>
              <w:rPr>
                <w:sz w:val="18"/>
              </w:rPr>
              <w:t>Cumulative</w:t>
            </w:r>
            <w:r>
              <w:rPr>
                <w:sz w:val="18"/>
              </w:rPr>
              <w:br/>
              <w:t xml:space="preserve"> course</w:t>
            </w:r>
          </w:p>
        </w:tc>
        <w:tc>
          <w:tcPr>
            <w:tcW w:w="0" w:type="auto"/>
            <w:tcBorders>
              <w:bottom w:val="single" w:sz="4" w:space="0" w:color="auto"/>
            </w:tcBorders>
            <w:shd w:val="clear" w:color="auto" w:fill="auto"/>
            <w:vAlign w:val="center"/>
          </w:tcPr>
          <w:p>
            <w:pPr>
              <w:jc w:val="right"/>
              <w:rPr>
                <w:sz w:val="18"/>
              </w:rPr>
            </w:pPr>
            <w:r>
              <w:rPr>
                <w:sz w:val="18"/>
              </w:rPr>
              <w:t>Cumulative intake</w:t>
            </w:r>
            <w:r>
              <w:rPr>
                <w:sz w:val="18"/>
              </w:rPr>
              <w:br/>
              <w:t xml:space="preserve"> course/assessment 1</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2014-10</w:t>
            </w:r>
          </w:p>
        </w:tc>
        <w:tc>
          <w:tcPr>
            <w:tcW w:w="0" w:type="auto"/>
            <w:tcBorders>
              <w:top w:val="single" w:sz="4" w:space="0" w:color="auto"/>
            </w:tcBorders>
            <w:shd w:val="clear" w:color="auto" w:fill="auto"/>
            <w:vAlign w:val="center"/>
          </w:tcPr>
          <w:p>
            <w:pPr>
              <w:jc w:val="right"/>
              <w:rPr>
                <w:sz w:val="18"/>
              </w:rPr>
            </w:pPr>
            <w:r>
              <w:rPr>
                <w:sz w:val="18"/>
              </w:rPr>
              <w:t>104</w:t>
            </w:r>
          </w:p>
        </w:tc>
        <w:tc>
          <w:tcPr>
            <w:tcW w:w="0" w:type="auto"/>
            <w:tcBorders>
              <w:top w:val="single" w:sz="4" w:space="0" w:color="auto"/>
            </w:tcBorders>
            <w:shd w:val="clear" w:color="auto" w:fill="auto"/>
            <w:vAlign w:val="center"/>
          </w:tcPr>
          <w:p>
            <w:pPr>
              <w:jc w:val="right"/>
              <w:rPr>
                <w:sz w:val="18"/>
              </w:rPr>
            </w:pPr>
            <w:r>
              <w:rPr>
                <w:sz w:val="18"/>
              </w:rPr>
              <w:t>104</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6</w:t>
            </w:r>
          </w:p>
        </w:tc>
        <w:tc>
          <w:tcPr>
            <w:tcW w:w="0" w:type="auto"/>
            <w:tcBorders>
              <w:top w:val="single" w:sz="4" w:space="0" w:color="auto"/>
            </w:tcBorders>
            <w:shd w:val="clear" w:color="auto" w:fill="auto"/>
            <w:vAlign w:val="center"/>
          </w:tcPr>
          <w:p>
            <w:pPr>
              <w:jc w:val="right"/>
              <w:rPr>
                <w:sz w:val="18"/>
              </w:rPr>
            </w:pPr>
            <w:r>
              <w:rPr>
                <w:sz w:val="18"/>
              </w:rPr>
              <w:t>6</w:t>
            </w:r>
          </w:p>
        </w:tc>
        <w:tc>
          <w:tcPr>
            <w:tcW w:w="0" w:type="auto"/>
            <w:tcBorders>
              <w:top w:val="single" w:sz="4" w:space="0" w:color="auto"/>
            </w:tcBorders>
            <w:shd w:val="clear" w:color="auto" w:fill="auto"/>
            <w:vAlign w:val="center"/>
          </w:tcPr>
          <w:p>
            <w:pPr>
              <w:jc w:val="right"/>
              <w:rPr>
                <w:sz w:val="18"/>
              </w:rPr>
            </w:pPr>
            <w:r>
              <w:rPr>
                <w:sz w:val="18"/>
              </w:rPr>
              <w:t xml:space="preserve"> 5,8%</w:t>
            </w:r>
          </w:p>
        </w:tc>
      </w:tr>
      <w:tr>
        <w:trPr>
          <w:trHeight w:hRule="exact" w:val="280"/>
        </w:trPr>
        <w:tc>
          <w:tcPr>
            <w:tcW w:w="0" w:type="auto"/>
            <w:shd w:val="clear" w:color="auto" w:fill="auto"/>
            <w:vAlign w:val="center"/>
          </w:tcPr>
          <w:p>
            <w:pPr>
              <w:jc w:val="left"/>
              <w:rPr>
                <w:sz w:val="18"/>
              </w:rPr>
            </w:pPr>
            <w:r>
              <w:rPr>
                <w:sz w:val="18"/>
              </w:rPr>
              <w:t>2014-11</w:t>
            </w:r>
          </w:p>
        </w:tc>
        <w:tc>
          <w:tcPr>
            <w:tcW w:w="0" w:type="auto"/>
            <w:shd w:val="clear" w:color="auto" w:fill="auto"/>
            <w:vAlign w:val="center"/>
          </w:tcPr>
          <w:p>
            <w:pPr>
              <w:jc w:val="right"/>
              <w:rPr>
                <w:sz w:val="18"/>
              </w:rPr>
            </w:pPr>
            <w:r>
              <w:rPr>
                <w:sz w:val="18"/>
              </w:rPr>
              <w:t>404</w:t>
            </w:r>
          </w:p>
        </w:tc>
        <w:tc>
          <w:tcPr>
            <w:tcW w:w="0" w:type="auto"/>
            <w:shd w:val="clear" w:color="auto" w:fill="auto"/>
            <w:vAlign w:val="center"/>
          </w:tcPr>
          <w:p>
            <w:pPr>
              <w:jc w:val="right"/>
              <w:rPr>
                <w:sz w:val="18"/>
              </w:rPr>
            </w:pPr>
            <w:r>
              <w:rPr>
                <w:sz w:val="18"/>
              </w:rPr>
              <w:t>508</w:t>
            </w:r>
          </w:p>
        </w:tc>
        <w:tc>
          <w:tcPr>
            <w:tcW w:w="0" w:type="auto"/>
            <w:shd w:val="clear" w:color="auto" w:fill="auto"/>
            <w:vAlign w:val="center"/>
          </w:tcPr>
          <w:p>
            <w:pPr>
              <w:jc w:val="right"/>
              <w:rPr>
                <w:sz w:val="18"/>
              </w:rPr>
            </w:pPr>
            <w:r>
              <w:rPr>
                <w:sz w:val="18"/>
              </w:rPr>
              <w:t>0</w:t>
            </w:r>
          </w:p>
        </w:tc>
        <w:tc>
          <w:tcPr>
            <w:tcW w:w="0" w:type="auto"/>
            <w:shd w:val="clear" w:color="auto" w:fill="auto"/>
            <w:vAlign w:val="center"/>
          </w:tcPr>
          <w:p>
            <w:pPr>
              <w:jc w:val="right"/>
              <w:rPr>
                <w:sz w:val="18"/>
              </w:rPr>
            </w:pPr>
            <w:r>
              <w:rPr>
                <w:sz w:val="18"/>
              </w:rPr>
              <w:t>0</w:t>
            </w:r>
          </w:p>
        </w:tc>
        <w:tc>
          <w:tcPr>
            <w:tcW w:w="0" w:type="auto"/>
            <w:shd w:val="clear" w:color="auto" w:fill="auto"/>
            <w:vAlign w:val="center"/>
          </w:tcPr>
          <w:p>
            <w:pPr>
              <w:jc w:val="right"/>
              <w:rPr>
                <w:sz w:val="18"/>
              </w:rPr>
            </w:pPr>
            <w:r>
              <w:rPr>
                <w:sz w:val="18"/>
              </w:rPr>
              <w:t>125</w:t>
            </w:r>
          </w:p>
        </w:tc>
        <w:tc>
          <w:tcPr>
            <w:tcW w:w="0" w:type="auto"/>
            <w:shd w:val="clear" w:color="auto" w:fill="auto"/>
            <w:vAlign w:val="center"/>
          </w:tcPr>
          <w:p>
            <w:pPr>
              <w:jc w:val="right"/>
              <w:rPr>
                <w:sz w:val="18"/>
              </w:rPr>
            </w:pPr>
            <w:r>
              <w:rPr>
                <w:sz w:val="18"/>
              </w:rPr>
              <w:t>131</w:t>
            </w:r>
          </w:p>
        </w:tc>
        <w:tc>
          <w:tcPr>
            <w:tcW w:w="0" w:type="auto"/>
            <w:shd w:val="clear" w:color="auto" w:fill="auto"/>
            <w:vAlign w:val="center"/>
          </w:tcPr>
          <w:p>
            <w:pPr>
              <w:jc w:val="right"/>
              <w:rPr>
                <w:sz w:val="18"/>
              </w:rPr>
            </w:pPr>
            <w:r>
              <w:rPr>
                <w:sz w:val="18"/>
              </w:rPr>
              <w:t>25,8%</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2014-12</w:t>
            </w:r>
          </w:p>
        </w:tc>
        <w:tc>
          <w:tcPr>
            <w:tcW w:w="0" w:type="auto"/>
            <w:tcBorders>
              <w:bottom w:val="single" w:sz="4" w:space="0" w:color="auto"/>
            </w:tcBorders>
            <w:shd w:val="clear" w:color="auto" w:fill="auto"/>
            <w:vAlign w:val="center"/>
          </w:tcPr>
          <w:p>
            <w:pPr>
              <w:jc w:val="right"/>
              <w:rPr>
                <w:sz w:val="18"/>
              </w:rPr>
            </w:pPr>
            <w:r>
              <w:rPr>
                <w:sz w:val="18"/>
              </w:rPr>
              <w:t>354</w:t>
            </w:r>
          </w:p>
        </w:tc>
        <w:tc>
          <w:tcPr>
            <w:tcW w:w="0" w:type="auto"/>
            <w:tcBorders>
              <w:bottom w:val="single" w:sz="4" w:space="0" w:color="auto"/>
            </w:tcBorders>
            <w:shd w:val="clear" w:color="auto" w:fill="auto"/>
            <w:vAlign w:val="center"/>
          </w:tcPr>
          <w:p>
            <w:pPr>
              <w:jc w:val="right"/>
              <w:rPr>
                <w:sz w:val="18"/>
              </w:rPr>
            </w:pPr>
            <w:r>
              <w:rPr>
                <w:sz w:val="18"/>
              </w:rPr>
              <w:t>862</w:t>
            </w:r>
          </w:p>
        </w:tc>
        <w:tc>
          <w:tcPr>
            <w:tcW w:w="0" w:type="auto"/>
            <w:tcBorders>
              <w:bottom w:val="single" w:sz="4" w:space="0" w:color="auto"/>
            </w:tcBorders>
            <w:shd w:val="clear" w:color="auto" w:fill="auto"/>
            <w:vAlign w:val="center"/>
          </w:tcPr>
          <w:p>
            <w:pPr>
              <w:jc w:val="right"/>
              <w:rPr>
                <w:sz w:val="18"/>
              </w:rPr>
            </w:pPr>
            <w:r>
              <w:rPr>
                <w:sz w:val="18"/>
              </w:rPr>
              <w:t>18</w:t>
            </w:r>
          </w:p>
        </w:tc>
        <w:tc>
          <w:tcPr>
            <w:tcW w:w="0" w:type="auto"/>
            <w:tcBorders>
              <w:bottom w:val="single" w:sz="4" w:space="0" w:color="auto"/>
            </w:tcBorders>
            <w:shd w:val="clear" w:color="auto" w:fill="auto"/>
            <w:vAlign w:val="center"/>
          </w:tcPr>
          <w:p>
            <w:pPr>
              <w:jc w:val="right"/>
              <w:rPr>
                <w:sz w:val="18"/>
              </w:rPr>
            </w:pPr>
            <w:r>
              <w:rPr>
                <w:sz w:val="18"/>
              </w:rPr>
              <w:t>18</w:t>
            </w:r>
          </w:p>
        </w:tc>
        <w:tc>
          <w:tcPr>
            <w:tcW w:w="0" w:type="auto"/>
            <w:tcBorders>
              <w:bottom w:val="single" w:sz="4" w:space="0" w:color="auto"/>
            </w:tcBorders>
            <w:shd w:val="clear" w:color="auto" w:fill="auto"/>
            <w:vAlign w:val="center"/>
          </w:tcPr>
          <w:p>
            <w:pPr>
              <w:jc w:val="right"/>
              <w:rPr>
                <w:sz w:val="18"/>
              </w:rPr>
            </w:pPr>
            <w:r>
              <w:rPr>
                <w:sz w:val="18"/>
              </w:rPr>
              <w:t>118</w:t>
            </w:r>
          </w:p>
        </w:tc>
        <w:tc>
          <w:tcPr>
            <w:tcW w:w="0" w:type="auto"/>
            <w:tcBorders>
              <w:bottom w:val="single" w:sz="4" w:space="0" w:color="auto"/>
            </w:tcBorders>
            <w:shd w:val="clear" w:color="auto" w:fill="auto"/>
            <w:vAlign w:val="center"/>
          </w:tcPr>
          <w:p>
            <w:pPr>
              <w:jc w:val="right"/>
              <w:rPr>
                <w:sz w:val="18"/>
              </w:rPr>
            </w:pPr>
            <w:r>
              <w:rPr>
                <w:sz w:val="18"/>
              </w:rPr>
              <w:t>249</w:t>
            </w:r>
          </w:p>
        </w:tc>
        <w:tc>
          <w:tcPr>
            <w:tcW w:w="0" w:type="auto"/>
            <w:tcBorders>
              <w:bottom w:val="single" w:sz="4" w:space="0" w:color="auto"/>
            </w:tcBorders>
            <w:shd w:val="clear" w:color="auto" w:fill="auto"/>
            <w:vAlign w:val="center"/>
          </w:tcPr>
          <w:p>
            <w:pPr>
              <w:jc w:val="right"/>
              <w:rPr>
                <w:sz w:val="18"/>
              </w:rPr>
            </w:pPr>
            <w:r>
              <w:rPr>
                <w:sz w:val="18"/>
              </w:rPr>
              <w:t>28,9%</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2015-01</w:t>
            </w:r>
          </w:p>
        </w:tc>
        <w:tc>
          <w:tcPr>
            <w:tcW w:w="0" w:type="auto"/>
            <w:tcBorders>
              <w:top w:val="single" w:sz="4" w:space="0" w:color="auto"/>
            </w:tcBorders>
            <w:shd w:val="clear" w:color="auto" w:fill="auto"/>
            <w:vAlign w:val="center"/>
          </w:tcPr>
          <w:p>
            <w:pPr>
              <w:jc w:val="right"/>
              <w:rPr>
                <w:sz w:val="18"/>
              </w:rPr>
            </w:pPr>
            <w:r>
              <w:rPr>
                <w:sz w:val="18"/>
              </w:rPr>
              <w:t>228</w:t>
            </w:r>
          </w:p>
        </w:tc>
        <w:tc>
          <w:tcPr>
            <w:tcW w:w="0" w:type="auto"/>
            <w:tcBorders>
              <w:top w:val="single" w:sz="4" w:space="0" w:color="auto"/>
            </w:tcBorders>
            <w:shd w:val="clear" w:color="auto" w:fill="auto"/>
            <w:vAlign w:val="center"/>
          </w:tcPr>
          <w:p>
            <w:pPr>
              <w:jc w:val="right"/>
              <w:rPr>
                <w:sz w:val="18"/>
              </w:rPr>
            </w:pPr>
            <w:r>
              <w:rPr>
                <w:sz w:val="18"/>
              </w:rPr>
              <w:t>1.090</w:t>
            </w:r>
          </w:p>
        </w:tc>
        <w:tc>
          <w:tcPr>
            <w:tcW w:w="0" w:type="auto"/>
            <w:tcBorders>
              <w:top w:val="single" w:sz="4" w:space="0" w:color="auto"/>
            </w:tcBorders>
            <w:shd w:val="clear" w:color="auto" w:fill="auto"/>
            <w:vAlign w:val="center"/>
          </w:tcPr>
          <w:p>
            <w:pPr>
              <w:jc w:val="right"/>
              <w:rPr>
                <w:sz w:val="18"/>
              </w:rPr>
            </w:pPr>
            <w:r>
              <w:rPr>
                <w:sz w:val="18"/>
              </w:rPr>
              <w:t>18</w:t>
            </w:r>
          </w:p>
        </w:tc>
        <w:tc>
          <w:tcPr>
            <w:tcW w:w="0" w:type="auto"/>
            <w:tcBorders>
              <w:top w:val="single" w:sz="4" w:space="0" w:color="auto"/>
            </w:tcBorders>
            <w:shd w:val="clear" w:color="auto" w:fill="auto"/>
            <w:vAlign w:val="center"/>
          </w:tcPr>
          <w:p>
            <w:pPr>
              <w:jc w:val="right"/>
              <w:rPr>
                <w:sz w:val="18"/>
              </w:rPr>
            </w:pPr>
            <w:r>
              <w:rPr>
                <w:sz w:val="18"/>
              </w:rPr>
              <w:t>36</w:t>
            </w:r>
          </w:p>
        </w:tc>
        <w:tc>
          <w:tcPr>
            <w:tcW w:w="0" w:type="auto"/>
            <w:tcBorders>
              <w:top w:val="single" w:sz="4" w:space="0" w:color="auto"/>
            </w:tcBorders>
            <w:shd w:val="clear" w:color="auto" w:fill="auto"/>
            <w:vAlign w:val="center"/>
          </w:tcPr>
          <w:p>
            <w:pPr>
              <w:jc w:val="right"/>
              <w:rPr>
                <w:sz w:val="18"/>
              </w:rPr>
            </w:pPr>
            <w:r>
              <w:rPr>
                <w:sz w:val="18"/>
              </w:rPr>
              <w:t>105</w:t>
            </w:r>
          </w:p>
        </w:tc>
        <w:tc>
          <w:tcPr>
            <w:tcW w:w="0" w:type="auto"/>
            <w:tcBorders>
              <w:top w:val="single" w:sz="4" w:space="0" w:color="auto"/>
            </w:tcBorders>
            <w:shd w:val="clear" w:color="auto" w:fill="auto"/>
            <w:vAlign w:val="center"/>
          </w:tcPr>
          <w:p>
            <w:pPr>
              <w:jc w:val="right"/>
              <w:rPr>
                <w:sz w:val="18"/>
              </w:rPr>
            </w:pPr>
            <w:r>
              <w:rPr>
                <w:sz w:val="18"/>
              </w:rPr>
              <w:t>354</w:t>
            </w:r>
          </w:p>
        </w:tc>
        <w:tc>
          <w:tcPr>
            <w:tcW w:w="0" w:type="auto"/>
            <w:tcBorders>
              <w:top w:val="single" w:sz="4" w:space="0" w:color="auto"/>
            </w:tcBorders>
            <w:shd w:val="clear" w:color="auto" w:fill="auto"/>
            <w:vAlign w:val="center"/>
          </w:tcPr>
          <w:p>
            <w:pPr>
              <w:jc w:val="right"/>
              <w:rPr>
                <w:sz w:val="18"/>
              </w:rPr>
            </w:pPr>
            <w:r>
              <w:rPr>
                <w:sz w:val="18"/>
              </w:rPr>
              <w:t>32,5%</w:t>
            </w:r>
          </w:p>
        </w:tc>
      </w:tr>
      <w:tr>
        <w:trPr>
          <w:trHeight w:hRule="exact" w:val="280"/>
        </w:trPr>
        <w:tc>
          <w:tcPr>
            <w:tcW w:w="0" w:type="auto"/>
            <w:shd w:val="clear" w:color="auto" w:fill="auto"/>
            <w:vAlign w:val="center"/>
          </w:tcPr>
          <w:p>
            <w:pPr>
              <w:jc w:val="left"/>
              <w:rPr>
                <w:sz w:val="18"/>
              </w:rPr>
            </w:pPr>
            <w:r>
              <w:rPr>
                <w:sz w:val="18"/>
              </w:rPr>
              <w:t>2015-02</w:t>
            </w:r>
          </w:p>
        </w:tc>
        <w:tc>
          <w:tcPr>
            <w:tcW w:w="0" w:type="auto"/>
            <w:shd w:val="clear" w:color="auto" w:fill="auto"/>
            <w:vAlign w:val="center"/>
          </w:tcPr>
          <w:p>
            <w:pPr>
              <w:jc w:val="right"/>
              <w:rPr>
                <w:sz w:val="18"/>
              </w:rPr>
            </w:pPr>
            <w:r>
              <w:rPr>
                <w:sz w:val="18"/>
              </w:rPr>
              <w:t>51</w:t>
            </w:r>
          </w:p>
        </w:tc>
        <w:tc>
          <w:tcPr>
            <w:tcW w:w="0" w:type="auto"/>
            <w:shd w:val="clear" w:color="auto" w:fill="auto"/>
            <w:vAlign w:val="center"/>
          </w:tcPr>
          <w:p>
            <w:pPr>
              <w:jc w:val="right"/>
              <w:rPr>
                <w:sz w:val="18"/>
              </w:rPr>
            </w:pPr>
            <w:r>
              <w:rPr>
                <w:sz w:val="18"/>
              </w:rPr>
              <w:t>1.141</w:t>
            </w:r>
          </w:p>
        </w:tc>
        <w:tc>
          <w:tcPr>
            <w:tcW w:w="0" w:type="auto"/>
            <w:shd w:val="clear" w:color="auto" w:fill="auto"/>
            <w:vAlign w:val="center"/>
          </w:tcPr>
          <w:p>
            <w:pPr>
              <w:jc w:val="right"/>
              <w:rPr>
                <w:sz w:val="18"/>
              </w:rPr>
            </w:pPr>
            <w:r>
              <w:rPr>
                <w:sz w:val="18"/>
              </w:rPr>
              <w:t>22</w:t>
            </w:r>
          </w:p>
        </w:tc>
        <w:tc>
          <w:tcPr>
            <w:tcW w:w="0" w:type="auto"/>
            <w:shd w:val="clear" w:color="auto" w:fill="auto"/>
            <w:vAlign w:val="center"/>
          </w:tcPr>
          <w:p>
            <w:pPr>
              <w:jc w:val="right"/>
              <w:rPr>
                <w:sz w:val="18"/>
              </w:rPr>
            </w:pPr>
            <w:r>
              <w:rPr>
                <w:sz w:val="18"/>
              </w:rPr>
              <w:t>58</w:t>
            </w:r>
          </w:p>
        </w:tc>
        <w:tc>
          <w:tcPr>
            <w:tcW w:w="0" w:type="auto"/>
            <w:shd w:val="clear" w:color="auto" w:fill="auto"/>
            <w:vAlign w:val="center"/>
          </w:tcPr>
          <w:p>
            <w:pPr>
              <w:jc w:val="right"/>
              <w:rPr>
                <w:sz w:val="18"/>
              </w:rPr>
            </w:pPr>
            <w:r>
              <w:rPr>
                <w:sz w:val="18"/>
              </w:rPr>
              <w:t>103</w:t>
            </w:r>
          </w:p>
        </w:tc>
        <w:tc>
          <w:tcPr>
            <w:tcW w:w="0" w:type="auto"/>
            <w:shd w:val="clear" w:color="auto" w:fill="auto"/>
            <w:vAlign w:val="center"/>
          </w:tcPr>
          <w:p>
            <w:pPr>
              <w:jc w:val="right"/>
              <w:rPr>
                <w:sz w:val="18"/>
              </w:rPr>
            </w:pPr>
            <w:r>
              <w:rPr>
                <w:sz w:val="18"/>
              </w:rPr>
              <w:t>457</w:t>
            </w:r>
          </w:p>
        </w:tc>
        <w:tc>
          <w:tcPr>
            <w:tcW w:w="0" w:type="auto"/>
            <w:shd w:val="clear" w:color="auto" w:fill="auto"/>
            <w:vAlign w:val="center"/>
          </w:tcPr>
          <w:p>
            <w:pPr>
              <w:jc w:val="right"/>
              <w:rPr>
                <w:sz w:val="18"/>
              </w:rPr>
            </w:pPr>
            <w:r>
              <w:rPr>
                <w:sz w:val="18"/>
              </w:rPr>
              <w:t>40,1%</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2015-03</w:t>
            </w:r>
          </w:p>
        </w:tc>
        <w:tc>
          <w:tcPr>
            <w:tcW w:w="0" w:type="auto"/>
            <w:tcBorders>
              <w:bottom w:val="single" w:sz="4" w:space="0" w:color="auto"/>
            </w:tcBorders>
            <w:shd w:val="clear" w:color="auto" w:fill="auto"/>
            <w:vAlign w:val="center"/>
          </w:tcPr>
          <w:p>
            <w:pPr>
              <w:jc w:val="right"/>
              <w:rPr>
                <w:sz w:val="18"/>
              </w:rPr>
            </w:pPr>
            <w:r>
              <w:rPr>
                <w:sz w:val="18"/>
              </w:rPr>
              <w:t>46</w:t>
            </w:r>
          </w:p>
        </w:tc>
        <w:tc>
          <w:tcPr>
            <w:tcW w:w="0" w:type="auto"/>
            <w:tcBorders>
              <w:bottom w:val="single" w:sz="4" w:space="0" w:color="auto"/>
            </w:tcBorders>
            <w:shd w:val="clear" w:color="auto" w:fill="auto"/>
            <w:vAlign w:val="center"/>
          </w:tcPr>
          <w:p>
            <w:pPr>
              <w:jc w:val="right"/>
              <w:rPr>
                <w:sz w:val="18"/>
              </w:rPr>
            </w:pPr>
            <w:r>
              <w:rPr>
                <w:sz w:val="18"/>
              </w:rPr>
              <w:t>1.187</w:t>
            </w:r>
          </w:p>
        </w:tc>
        <w:tc>
          <w:tcPr>
            <w:tcW w:w="0" w:type="auto"/>
            <w:tcBorders>
              <w:bottom w:val="single" w:sz="4" w:space="0" w:color="auto"/>
            </w:tcBorders>
            <w:shd w:val="clear" w:color="auto" w:fill="auto"/>
            <w:vAlign w:val="center"/>
          </w:tcPr>
          <w:p>
            <w:pPr>
              <w:jc w:val="right"/>
              <w:rPr>
                <w:sz w:val="18"/>
              </w:rPr>
            </w:pPr>
            <w:r>
              <w:rPr>
                <w:sz w:val="18"/>
              </w:rPr>
              <w:t>33</w:t>
            </w:r>
          </w:p>
        </w:tc>
        <w:tc>
          <w:tcPr>
            <w:tcW w:w="0" w:type="auto"/>
            <w:tcBorders>
              <w:bottom w:val="single" w:sz="4" w:space="0" w:color="auto"/>
            </w:tcBorders>
            <w:shd w:val="clear" w:color="auto" w:fill="auto"/>
            <w:vAlign w:val="center"/>
          </w:tcPr>
          <w:p>
            <w:pPr>
              <w:jc w:val="right"/>
              <w:rPr>
                <w:sz w:val="18"/>
              </w:rPr>
            </w:pPr>
            <w:r>
              <w:rPr>
                <w:sz w:val="18"/>
              </w:rPr>
              <w:t>91</w:t>
            </w:r>
          </w:p>
        </w:tc>
        <w:tc>
          <w:tcPr>
            <w:tcW w:w="0" w:type="auto"/>
            <w:tcBorders>
              <w:bottom w:val="single" w:sz="4" w:space="0" w:color="auto"/>
            </w:tcBorders>
            <w:shd w:val="clear" w:color="auto" w:fill="auto"/>
            <w:vAlign w:val="center"/>
          </w:tcPr>
          <w:p>
            <w:pPr>
              <w:jc w:val="right"/>
              <w:rPr>
                <w:sz w:val="18"/>
              </w:rPr>
            </w:pPr>
            <w:r>
              <w:rPr>
                <w:sz w:val="18"/>
              </w:rPr>
              <w:t>12</w:t>
            </w:r>
          </w:p>
        </w:tc>
        <w:tc>
          <w:tcPr>
            <w:tcW w:w="0" w:type="auto"/>
            <w:tcBorders>
              <w:bottom w:val="single" w:sz="4" w:space="0" w:color="auto"/>
            </w:tcBorders>
            <w:shd w:val="clear" w:color="auto" w:fill="auto"/>
            <w:vAlign w:val="center"/>
          </w:tcPr>
          <w:p>
            <w:pPr>
              <w:jc w:val="right"/>
              <w:rPr>
                <w:sz w:val="18"/>
              </w:rPr>
            </w:pPr>
            <w:r>
              <w:rPr>
                <w:sz w:val="18"/>
              </w:rPr>
              <w:t>469</w:t>
            </w:r>
          </w:p>
        </w:tc>
        <w:tc>
          <w:tcPr>
            <w:tcW w:w="0" w:type="auto"/>
            <w:tcBorders>
              <w:bottom w:val="single" w:sz="4" w:space="0" w:color="auto"/>
            </w:tcBorders>
            <w:shd w:val="clear" w:color="auto" w:fill="auto"/>
            <w:vAlign w:val="center"/>
          </w:tcPr>
          <w:p>
            <w:pPr>
              <w:jc w:val="right"/>
              <w:rPr>
                <w:sz w:val="18"/>
              </w:rPr>
            </w:pPr>
            <w:r>
              <w:rPr>
                <w:sz w:val="18"/>
              </w:rPr>
              <w:t>39,5%</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2015-04</w:t>
            </w:r>
          </w:p>
        </w:tc>
        <w:tc>
          <w:tcPr>
            <w:tcW w:w="0" w:type="auto"/>
            <w:tcBorders>
              <w:top w:val="single" w:sz="4" w:space="0" w:color="auto"/>
            </w:tcBorders>
            <w:shd w:val="clear" w:color="auto" w:fill="auto"/>
            <w:vAlign w:val="center"/>
          </w:tcPr>
          <w:p>
            <w:pPr>
              <w:jc w:val="right"/>
              <w:rPr>
                <w:sz w:val="18"/>
              </w:rPr>
            </w:pPr>
            <w:r>
              <w:rPr>
                <w:sz w:val="18"/>
              </w:rPr>
              <w:t>205</w:t>
            </w:r>
          </w:p>
        </w:tc>
        <w:tc>
          <w:tcPr>
            <w:tcW w:w="0" w:type="auto"/>
            <w:tcBorders>
              <w:top w:val="single" w:sz="4" w:space="0" w:color="auto"/>
            </w:tcBorders>
            <w:shd w:val="clear" w:color="auto" w:fill="auto"/>
            <w:vAlign w:val="center"/>
          </w:tcPr>
          <w:p>
            <w:pPr>
              <w:jc w:val="right"/>
              <w:rPr>
                <w:sz w:val="18"/>
              </w:rPr>
            </w:pPr>
            <w:r>
              <w:rPr>
                <w:sz w:val="18"/>
              </w:rPr>
              <w:t>1.392</w:t>
            </w:r>
          </w:p>
        </w:tc>
        <w:tc>
          <w:tcPr>
            <w:tcW w:w="0" w:type="auto"/>
            <w:tcBorders>
              <w:top w:val="single" w:sz="4" w:space="0" w:color="auto"/>
            </w:tcBorders>
            <w:shd w:val="clear" w:color="auto" w:fill="auto"/>
            <w:vAlign w:val="center"/>
          </w:tcPr>
          <w:p>
            <w:pPr>
              <w:jc w:val="right"/>
              <w:rPr>
                <w:sz w:val="18"/>
              </w:rPr>
            </w:pPr>
            <w:r>
              <w:rPr>
                <w:sz w:val="18"/>
              </w:rPr>
              <w:t>67</w:t>
            </w:r>
          </w:p>
        </w:tc>
        <w:tc>
          <w:tcPr>
            <w:tcW w:w="0" w:type="auto"/>
            <w:tcBorders>
              <w:top w:val="single" w:sz="4" w:space="0" w:color="auto"/>
            </w:tcBorders>
            <w:shd w:val="clear" w:color="auto" w:fill="auto"/>
            <w:vAlign w:val="center"/>
          </w:tcPr>
          <w:p>
            <w:pPr>
              <w:jc w:val="right"/>
              <w:rPr>
                <w:sz w:val="18"/>
              </w:rPr>
            </w:pPr>
            <w:r>
              <w:rPr>
                <w:sz w:val="18"/>
              </w:rPr>
              <w:t>158</w:t>
            </w:r>
          </w:p>
        </w:tc>
        <w:tc>
          <w:tcPr>
            <w:tcW w:w="0" w:type="auto"/>
            <w:tcBorders>
              <w:top w:val="single" w:sz="4" w:space="0" w:color="auto"/>
            </w:tcBorders>
            <w:shd w:val="clear" w:color="auto" w:fill="auto"/>
            <w:vAlign w:val="center"/>
          </w:tcPr>
          <w:p>
            <w:pPr>
              <w:jc w:val="right"/>
              <w:rPr>
                <w:sz w:val="18"/>
              </w:rPr>
            </w:pPr>
            <w:r>
              <w:rPr>
                <w:sz w:val="18"/>
              </w:rPr>
              <w:t>38</w:t>
            </w:r>
          </w:p>
        </w:tc>
        <w:tc>
          <w:tcPr>
            <w:tcW w:w="0" w:type="auto"/>
            <w:tcBorders>
              <w:top w:val="single" w:sz="4" w:space="0" w:color="auto"/>
            </w:tcBorders>
            <w:shd w:val="clear" w:color="auto" w:fill="auto"/>
            <w:vAlign w:val="center"/>
          </w:tcPr>
          <w:p>
            <w:pPr>
              <w:jc w:val="right"/>
              <w:rPr>
                <w:sz w:val="18"/>
              </w:rPr>
            </w:pPr>
            <w:r>
              <w:rPr>
                <w:sz w:val="18"/>
              </w:rPr>
              <w:t>507</w:t>
            </w:r>
          </w:p>
        </w:tc>
        <w:tc>
          <w:tcPr>
            <w:tcW w:w="0" w:type="auto"/>
            <w:tcBorders>
              <w:top w:val="single" w:sz="4" w:space="0" w:color="auto"/>
            </w:tcBorders>
            <w:shd w:val="clear" w:color="auto" w:fill="auto"/>
            <w:vAlign w:val="center"/>
          </w:tcPr>
          <w:p>
            <w:pPr>
              <w:jc w:val="right"/>
              <w:rPr>
                <w:sz w:val="18"/>
              </w:rPr>
            </w:pPr>
            <w:r>
              <w:rPr>
                <w:sz w:val="18"/>
              </w:rPr>
              <w:t>36,4%</w:t>
            </w:r>
          </w:p>
        </w:tc>
      </w:tr>
      <w:tr>
        <w:trPr>
          <w:trHeight w:hRule="exact" w:val="280"/>
        </w:trPr>
        <w:tc>
          <w:tcPr>
            <w:tcW w:w="0" w:type="auto"/>
            <w:shd w:val="clear" w:color="auto" w:fill="auto"/>
            <w:vAlign w:val="center"/>
          </w:tcPr>
          <w:p>
            <w:pPr>
              <w:jc w:val="left"/>
              <w:rPr>
                <w:sz w:val="18"/>
              </w:rPr>
            </w:pPr>
            <w:r>
              <w:rPr>
                <w:sz w:val="18"/>
              </w:rPr>
              <w:t>2015-05</w:t>
            </w:r>
          </w:p>
        </w:tc>
        <w:tc>
          <w:tcPr>
            <w:tcW w:w="0" w:type="auto"/>
            <w:shd w:val="clear" w:color="auto" w:fill="auto"/>
            <w:vAlign w:val="center"/>
          </w:tcPr>
          <w:p>
            <w:pPr>
              <w:jc w:val="right"/>
              <w:rPr>
                <w:sz w:val="18"/>
              </w:rPr>
            </w:pPr>
            <w:r>
              <w:rPr>
                <w:sz w:val="18"/>
              </w:rPr>
              <w:t>4</w:t>
            </w:r>
          </w:p>
        </w:tc>
        <w:tc>
          <w:tcPr>
            <w:tcW w:w="0" w:type="auto"/>
            <w:shd w:val="clear" w:color="auto" w:fill="auto"/>
            <w:vAlign w:val="center"/>
          </w:tcPr>
          <w:p>
            <w:pPr>
              <w:jc w:val="right"/>
              <w:rPr>
                <w:sz w:val="18"/>
              </w:rPr>
            </w:pPr>
            <w:r>
              <w:rPr>
                <w:sz w:val="18"/>
              </w:rPr>
              <w:t>1.396</w:t>
            </w:r>
          </w:p>
        </w:tc>
        <w:tc>
          <w:tcPr>
            <w:tcW w:w="0" w:type="auto"/>
            <w:shd w:val="clear" w:color="auto" w:fill="auto"/>
            <w:vAlign w:val="center"/>
          </w:tcPr>
          <w:p>
            <w:pPr>
              <w:jc w:val="right"/>
              <w:rPr>
                <w:sz w:val="18"/>
              </w:rPr>
            </w:pPr>
            <w:r>
              <w:rPr>
                <w:sz w:val="18"/>
              </w:rPr>
              <w:t>235</w:t>
            </w:r>
          </w:p>
        </w:tc>
        <w:tc>
          <w:tcPr>
            <w:tcW w:w="0" w:type="auto"/>
            <w:shd w:val="clear" w:color="auto" w:fill="auto"/>
            <w:vAlign w:val="center"/>
          </w:tcPr>
          <w:p>
            <w:pPr>
              <w:jc w:val="right"/>
              <w:rPr>
                <w:sz w:val="18"/>
              </w:rPr>
            </w:pPr>
            <w:r>
              <w:rPr>
                <w:sz w:val="18"/>
              </w:rPr>
              <w:t>393</w:t>
            </w:r>
          </w:p>
        </w:tc>
        <w:tc>
          <w:tcPr>
            <w:tcW w:w="0" w:type="auto"/>
            <w:shd w:val="clear" w:color="auto" w:fill="auto"/>
            <w:vAlign w:val="center"/>
          </w:tcPr>
          <w:p>
            <w:pPr>
              <w:jc w:val="right"/>
              <w:rPr>
                <w:sz w:val="18"/>
              </w:rPr>
            </w:pPr>
            <w:r>
              <w:rPr>
                <w:sz w:val="18"/>
              </w:rPr>
              <w:t>44</w:t>
            </w:r>
          </w:p>
        </w:tc>
        <w:tc>
          <w:tcPr>
            <w:tcW w:w="0" w:type="auto"/>
            <w:shd w:val="clear" w:color="auto" w:fill="auto"/>
            <w:vAlign w:val="center"/>
          </w:tcPr>
          <w:p>
            <w:pPr>
              <w:jc w:val="right"/>
              <w:rPr>
                <w:sz w:val="18"/>
              </w:rPr>
            </w:pPr>
            <w:r>
              <w:rPr>
                <w:sz w:val="18"/>
              </w:rPr>
              <w:t>551</w:t>
            </w:r>
          </w:p>
        </w:tc>
        <w:tc>
          <w:tcPr>
            <w:tcW w:w="0" w:type="auto"/>
            <w:shd w:val="clear" w:color="auto" w:fill="auto"/>
            <w:vAlign w:val="center"/>
          </w:tcPr>
          <w:p>
            <w:pPr>
              <w:jc w:val="right"/>
              <w:rPr>
                <w:sz w:val="18"/>
              </w:rPr>
            </w:pPr>
            <w:r>
              <w:rPr>
                <w:sz w:val="18"/>
              </w:rPr>
              <w:t>39,5%</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2015-06</w:t>
            </w:r>
          </w:p>
        </w:tc>
        <w:tc>
          <w:tcPr>
            <w:tcW w:w="0" w:type="auto"/>
            <w:tcBorders>
              <w:bottom w:val="single" w:sz="4" w:space="0" w:color="auto"/>
            </w:tcBorders>
            <w:shd w:val="clear" w:color="auto" w:fill="auto"/>
            <w:vAlign w:val="center"/>
          </w:tcPr>
          <w:p>
            <w:pPr>
              <w:jc w:val="right"/>
              <w:rPr>
                <w:sz w:val="18"/>
              </w:rPr>
            </w:pPr>
            <w:r>
              <w:rPr>
                <w:sz w:val="18"/>
              </w:rPr>
              <w:t>928</w:t>
            </w:r>
          </w:p>
        </w:tc>
        <w:tc>
          <w:tcPr>
            <w:tcW w:w="0" w:type="auto"/>
            <w:tcBorders>
              <w:bottom w:val="single" w:sz="4" w:space="0" w:color="auto"/>
            </w:tcBorders>
            <w:shd w:val="clear" w:color="auto" w:fill="auto"/>
            <w:vAlign w:val="center"/>
          </w:tcPr>
          <w:p>
            <w:pPr>
              <w:jc w:val="right"/>
              <w:rPr>
                <w:sz w:val="18"/>
              </w:rPr>
            </w:pPr>
            <w:r>
              <w:rPr>
                <w:sz w:val="18"/>
              </w:rPr>
              <w:t>2.324</w:t>
            </w:r>
          </w:p>
        </w:tc>
        <w:tc>
          <w:tcPr>
            <w:tcW w:w="0" w:type="auto"/>
            <w:tcBorders>
              <w:bottom w:val="single" w:sz="4" w:space="0" w:color="auto"/>
            </w:tcBorders>
            <w:shd w:val="clear" w:color="auto" w:fill="auto"/>
            <w:vAlign w:val="center"/>
          </w:tcPr>
          <w:p>
            <w:pPr>
              <w:jc w:val="right"/>
              <w:rPr>
                <w:sz w:val="18"/>
              </w:rPr>
            </w:pPr>
            <w:r>
              <w:rPr>
                <w:sz w:val="18"/>
              </w:rPr>
              <w:t>408</w:t>
            </w:r>
          </w:p>
        </w:tc>
        <w:tc>
          <w:tcPr>
            <w:tcW w:w="0" w:type="auto"/>
            <w:tcBorders>
              <w:bottom w:val="single" w:sz="4" w:space="0" w:color="auto"/>
            </w:tcBorders>
            <w:shd w:val="clear" w:color="auto" w:fill="auto"/>
            <w:vAlign w:val="center"/>
          </w:tcPr>
          <w:p>
            <w:pPr>
              <w:jc w:val="right"/>
              <w:rPr>
                <w:sz w:val="18"/>
              </w:rPr>
            </w:pPr>
            <w:r>
              <w:rPr>
                <w:sz w:val="18"/>
              </w:rPr>
              <w:t>801</w:t>
            </w:r>
          </w:p>
        </w:tc>
        <w:tc>
          <w:tcPr>
            <w:tcW w:w="0" w:type="auto"/>
            <w:tcBorders>
              <w:bottom w:val="single" w:sz="4" w:space="0" w:color="auto"/>
            </w:tcBorders>
            <w:shd w:val="clear" w:color="auto" w:fill="auto"/>
            <w:vAlign w:val="center"/>
          </w:tcPr>
          <w:p>
            <w:pPr>
              <w:jc w:val="right"/>
              <w:rPr>
                <w:sz w:val="18"/>
              </w:rPr>
            </w:pPr>
            <w:r>
              <w:rPr>
                <w:sz w:val="18"/>
              </w:rPr>
              <w:t>17</w:t>
            </w:r>
          </w:p>
        </w:tc>
        <w:tc>
          <w:tcPr>
            <w:tcW w:w="0" w:type="auto"/>
            <w:tcBorders>
              <w:bottom w:val="single" w:sz="4" w:space="0" w:color="auto"/>
            </w:tcBorders>
            <w:shd w:val="clear" w:color="auto" w:fill="auto"/>
            <w:vAlign w:val="center"/>
          </w:tcPr>
          <w:p>
            <w:pPr>
              <w:jc w:val="right"/>
              <w:rPr>
                <w:sz w:val="18"/>
              </w:rPr>
            </w:pPr>
            <w:r>
              <w:rPr>
                <w:sz w:val="18"/>
              </w:rPr>
              <w:t>568</w:t>
            </w:r>
          </w:p>
        </w:tc>
        <w:tc>
          <w:tcPr>
            <w:tcW w:w="0" w:type="auto"/>
            <w:tcBorders>
              <w:bottom w:val="single" w:sz="4" w:space="0" w:color="auto"/>
            </w:tcBorders>
            <w:shd w:val="clear" w:color="auto" w:fill="auto"/>
            <w:vAlign w:val="center"/>
          </w:tcPr>
          <w:p>
            <w:pPr>
              <w:jc w:val="right"/>
              <w:rPr>
                <w:sz w:val="18"/>
              </w:rPr>
            </w:pPr>
            <w:r>
              <w:rPr>
                <w:sz w:val="18"/>
              </w:rPr>
              <w:t>24,4%</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2015-07</w:t>
            </w:r>
          </w:p>
        </w:tc>
        <w:tc>
          <w:tcPr>
            <w:tcW w:w="0" w:type="auto"/>
            <w:tcBorders>
              <w:top w:val="single" w:sz="4" w:space="0" w:color="auto"/>
            </w:tcBorders>
            <w:shd w:val="clear" w:color="auto" w:fill="auto"/>
            <w:vAlign w:val="center"/>
          </w:tcPr>
          <w:p>
            <w:pPr>
              <w:jc w:val="right"/>
              <w:rPr>
                <w:sz w:val="18"/>
              </w:rPr>
            </w:pPr>
            <w:r>
              <w:rPr>
                <w:sz w:val="18"/>
              </w:rPr>
              <w:t>475</w:t>
            </w:r>
          </w:p>
        </w:tc>
        <w:tc>
          <w:tcPr>
            <w:tcW w:w="0" w:type="auto"/>
            <w:tcBorders>
              <w:top w:val="single" w:sz="4" w:space="0" w:color="auto"/>
            </w:tcBorders>
            <w:shd w:val="clear" w:color="auto" w:fill="auto"/>
            <w:vAlign w:val="center"/>
          </w:tcPr>
          <w:p>
            <w:pPr>
              <w:jc w:val="right"/>
              <w:rPr>
                <w:sz w:val="18"/>
              </w:rPr>
            </w:pPr>
            <w:r>
              <w:rPr>
                <w:sz w:val="18"/>
              </w:rPr>
              <w:t>2.799</w:t>
            </w:r>
          </w:p>
        </w:tc>
        <w:tc>
          <w:tcPr>
            <w:tcW w:w="0" w:type="auto"/>
            <w:tcBorders>
              <w:top w:val="single" w:sz="4" w:space="0" w:color="auto"/>
            </w:tcBorders>
            <w:shd w:val="clear" w:color="auto" w:fill="auto"/>
            <w:vAlign w:val="center"/>
          </w:tcPr>
          <w:p>
            <w:pPr>
              <w:jc w:val="right"/>
              <w:rPr>
                <w:sz w:val="18"/>
              </w:rPr>
            </w:pPr>
            <w:r>
              <w:rPr>
                <w:sz w:val="18"/>
              </w:rPr>
              <w:t>170</w:t>
            </w:r>
          </w:p>
        </w:tc>
        <w:tc>
          <w:tcPr>
            <w:tcW w:w="0" w:type="auto"/>
            <w:tcBorders>
              <w:top w:val="single" w:sz="4" w:space="0" w:color="auto"/>
            </w:tcBorders>
            <w:shd w:val="clear" w:color="auto" w:fill="auto"/>
            <w:vAlign w:val="center"/>
          </w:tcPr>
          <w:p>
            <w:pPr>
              <w:jc w:val="right"/>
              <w:rPr>
                <w:sz w:val="18"/>
              </w:rPr>
            </w:pPr>
            <w:r>
              <w:rPr>
                <w:sz w:val="18"/>
              </w:rPr>
              <w:t>971</w:t>
            </w:r>
          </w:p>
        </w:tc>
        <w:tc>
          <w:tcPr>
            <w:tcW w:w="0" w:type="auto"/>
            <w:tcBorders>
              <w:top w:val="single" w:sz="4" w:space="0" w:color="auto"/>
            </w:tcBorders>
            <w:shd w:val="clear" w:color="auto" w:fill="auto"/>
            <w:vAlign w:val="center"/>
          </w:tcPr>
          <w:p>
            <w:pPr>
              <w:jc w:val="right"/>
              <w:rPr>
                <w:sz w:val="18"/>
              </w:rPr>
            </w:pPr>
            <w:r>
              <w:rPr>
                <w:sz w:val="18"/>
              </w:rPr>
              <w:t>140</w:t>
            </w:r>
          </w:p>
        </w:tc>
        <w:tc>
          <w:tcPr>
            <w:tcW w:w="0" w:type="auto"/>
            <w:tcBorders>
              <w:top w:val="single" w:sz="4" w:space="0" w:color="auto"/>
            </w:tcBorders>
            <w:shd w:val="clear" w:color="auto" w:fill="auto"/>
            <w:vAlign w:val="center"/>
          </w:tcPr>
          <w:p>
            <w:pPr>
              <w:jc w:val="right"/>
              <w:rPr>
                <w:sz w:val="18"/>
              </w:rPr>
            </w:pPr>
            <w:r>
              <w:rPr>
                <w:sz w:val="18"/>
              </w:rPr>
              <w:t>708</w:t>
            </w:r>
          </w:p>
        </w:tc>
        <w:tc>
          <w:tcPr>
            <w:tcW w:w="0" w:type="auto"/>
            <w:tcBorders>
              <w:top w:val="single" w:sz="4" w:space="0" w:color="auto"/>
            </w:tcBorders>
            <w:shd w:val="clear" w:color="auto" w:fill="auto"/>
            <w:vAlign w:val="center"/>
          </w:tcPr>
          <w:p>
            <w:pPr>
              <w:jc w:val="right"/>
              <w:rPr>
                <w:sz w:val="18"/>
              </w:rPr>
            </w:pPr>
            <w:r>
              <w:rPr>
                <w:sz w:val="18"/>
              </w:rPr>
              <w:t>25,3%</w:t>
            </w:r>
          </w:p>
        </w:tc>
      </w:tr>
      <w:tr>
        <w:trPr>
          <w:trHeight w:hRule="exact" w:val="280"/>
        </w:trPr>
        <w:tc>
          <w:tcPr>
            <w:tcW w:w="0" w:type="auto"/>
            <w:shd w:val="clear" w:color="auto" w:fill="auto"/>
            <w:vAlign w:val="center"/>
          </w:tcPr>
          <w:p>
            <w:pPr>
              <w:jc w:val="left"/>
              <w:rPr>
                <w:sz w:val="18"/>
              </w:rPr>
            </w:pPr>
            <w:r>
              <w:rPr>
                <w:sz w:val="18"/>
              </w:rPr>
              <w:t>2015-08</w:t>
            </w:r>
          </w:p>
        </w:tc>
        <w:tc>
          <w:tcPr>
            <w:tcW w:w="0" w:type="auto"/>
            <w:shd w:val="clear" w:color="auto" w:fill="auto"/>
            <w:vAlign w:val="center"/>
          </w:tcPr>
          <w:p>
            <w:pPr>
              <w:jc w:val="right"/>
              <w:rPr>
                <w:sz w:val="18"/>
              </w:rPr>
            </w:pPr>
            <w:r>
              <w:rPr>
                <w:sz w:val="18"/>
              </w:rPr>
              <w:t>194</w:t>
            </w:r>
          </w:p>
        </w:tc>
        <w:tc>
          <w:tcPr>
            <w:tcW w:w="0" w:type="auto"/>
            <w:shd w:val="clear" w:color="auto" w:fill="auto"/>
            <w:vAlign w:val="center"/>
          </w:tcPr>
          <w:p>
            <w:pPr>
              <w:jc w:val="right"/>
              <w:rPr>
                <w:sz w:val="18"/>
              </w:rPr>
            </w:pPr>
            <w:r>
              <w:rPr>
                <w:sz w:val="18"/>
              </w:rPr>
              <w:t>2.993</w:t>
            </w:r>
          </w:p>
        </w:tc>
        <w:tc>
          <w:tcPr>
            <w:tcW w:w="0" w:type="auto"/>
            <w:shd w:val="clear" w:color="auto" w:fill="auto"/>
            <w:vAlign w:val="center"/>
          </w:tcPr>
          <w:p>
            <w:pPr>
              <w:jc w:val="right"/>
              <w:rPr>
                <w:sz w:val="18"/>
              </w:rPr>
            </w:pPr>
            <w:r>
              <w:rPr>
                <w:sz w:val="18"/>
              </w:rPr>
              <w:t>30</w:t>
            </w:r>
          </w:p>
        </w:tc>
        <w:tc>
          <w:tcPr>
            <w:tcW w:w="0" w:type="auto"/>
            <w:shd w:val="clear" w:color="auto" w:fill="auto"/>
            <w:vAlign w:val="center"/>
          </w:tcPr>
          <w:p>
            <w:pPr>
              <w:jc w:val="right"/>
              <w:rPr>
                <w:sz w:val="18"/>
              </w:rPr>
            </w:pPr>
            <w:r>
              <w:rPr>
                <w:sz w:val="18"/>
              </w:rPr>
              <w:t>1.001</w:t>
            </w:r>
          </w:p>
        </w:tc>
        <w:tc>
          <w:tcPr>
            <w:tcW w:w="0" w:type="auto"/>
            <w:shd w:val="clear" w:color="auto" w:fill="auto"/>
            <w:vAlign w:val="center"/>
          </w:tcPr>
          <w:p>
            <w:pPr>
              <w:jc w:val="right"/>
              <w:rPr>
                <w:sz w:val="18"/>
              </w:rPr>
            </w:pPr>
            <w:r>
              <w:rPr>
                <w:sz w:val="18"/>
              </w:rPr>
              <w:t>258</w:t>
            </w:r>
          </w:p>
        </w:tc>
        <w:tc>
          <w:tcPr>
            <w:tcW w:w="0" w:type="auto"/>
            <w:shd w:val="clear" w:color="auto" w:fill="auto"/>
            <w:vAlign w:val="center"/>
          </w:tcPr>
          <w:p>
            <w:pPr>
              <w:jc w:val="right"/>
              <w:rPr>
                <w:sz w:val="18"/>
              </w:rPr>
            </w:pPr>
            <w:r>
              <w:rPr>
                <w:sz w:val="18"/>
              </w:rPr>
              <w:t>966</w:t>
            </w:r>
          </w:p>
        </w:tc>
        <w:tc>
          <w:tcPr>
            <w:tcW w:w="0" w:type="auto"/>
            <w:shd w:val="clear" w:color="auto" w:fill="auto"/>
            <w:vAlign w:val="center"/>
          </w:tcPr>
          <w:p>
            <w:pPr>
              <w:jc w:val="right"/>
              <w:rPr>
                <w:sz w:val="18"/>
              </w:rPr>
            </w:pPr>
            <w:r>
              <w:rPr>
                <w:sz w:val="18"/>
              </w:rPr>
              <w:t>32,3%</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2015-09</w:t>
            </w:r>
          </w:p>
        </w:tc>
        <w:tc>
          <w:tcPr>
            <w:tcW w:w="0" w:type="auto"/>
            <w:tcBorders>
              <w:bottom w:val="single" w:sz="4" w:space="0" w:color="auto"/>
            </w:tcBorders>
            <w:shd w:val="clear" w:color="auto" w:fill="auto"/>
            <w:vAlign w:val="center"/>
          </w:tcPr>
          <w:p>
            <w:pPr>
              <w:jc w:val="right"/>
              <w:rPr>
                <w:sz w:val="18"/>
              </w:rPr>
            </w:pPr>
            <w:r>
              <w:rPr>
                <w:sz w:val="18"/>
              </w:rPr>
              <w:t>437</w:t>
            </w:r>
          </w:p>
        </w:tc>
        <w:tc>
          <w:tcPr>
            <w:tcW w:w="0" w:type="auto"/>
            <w:tcBorders>
              <w:bottom w:val="single" w:sz="4" w:space="0" w:color="auto"/>
            </w:tcBorders>
            <w:shd w:val="clear" w:color="auto" w:fill="auto"/>
            <w:vAlign w:val="center"/>
          </w:tcPr>
          <w:p>
            <w:pPr>
              <w:jc w:val="right"/>
              <w:rPr>
                <w:sz w:val="18"/>
              </w:rPr>
            </w:pPr>
            <w:r>
              <w:rPr>
                <w:sz w:val="18"/>
              </w:rPr>
              <w:t>3.430</w:t>
            </w:r>
          </w:p>
        </w:tc>
        <w:tc>
          <w:tcPr>
            <w:tcW w:w="0" w:type="auto"/>
            <w:tcBorders>
              <w:bottom w:val="single" w:sz="4" w:space="0" w:color="auto"/>
            </w:tcBorders>
            <w:shd w:val="clear" w:color="auto" w:fill="auto"/>
            <w:vAlign w:val="center"/>
          </w:tcPr>
          <w:p>
            <w:pPr>
              <w:jc w:val="right"/>
              <w:rPr>
                <w:sz w:val="18"/>
              </w:rPr>
            </w:pPr>
            <w:r>
              <w:rPr>
                <w:sz w:val="18"/>
              </w:rPr>
              <w:t>25</w:t>
            </w:r>
          </w:p>
        </w:tc>
        <w:tc>
          <w:tcPr>
            <w:tcW w:w="0" w:type="auto"/>
            <w:tcBorders>
              <w:bottom w:val="single" w:sz="4" w:space="0" w:color="auto"/>
            </w:tcBorders>
            <w:shd w:val="clear" w:color="auto" w:fill="auto"/>
            <w:vAlign w:val="center"/>
          </w:tcPr>
          <w:p>
            <w:pPr>
              <w:jc w:val="right"/>
              <w:rPr>
                <w:sz w:val="18"/>
              </w:rPr>
            </w:pPr>
            <w:r>
              <w:rPr>
                <w:sz w:val="18"/>
              </w:rPr>
              <w:t>1.026</w:t>
            </w:r>
          </w:p>
        </w:tc>
        <w:tc>
          <w:tcPr>
            <w:tcW w:w="0" w:type="auto"/>
            <w:tcBorders>
              <w:bottom w:val="single" w:sz="4" w:space="0" w:color="auto"/>
            </w:tcBorders>
            <w:shd w:val="clear" w:color="auto" w:fill="auto"/>
            <w:vAlign w:val="center"/>
          </w:tcPr>
          <w:p>
            <w:pPr>
              <w:jc w:val="right"/>
              <w:rPr>
                <w:sz w:val="18"/>
              </w:rPr>
            </w:pPr>
            <w:r>
              <w:rPr>
                <w:sz w:val="18"/>
              </w:rPr>
              <w:t>119</w:t>
            </w:r>
          </w:p>
        </w:tc>
        <w:tc>
          <w:tcPr>
            <w:tcW w:w="0" w:type="auto"/>
            <w:tcBorders>
              <w:bottom w:val="single" w:sz="4" w:space="0" w:color="auto"/>
            </w:tcBorders>
            <w:shd w:val="clear" w:color="auto" w:fill="auto"/>
            <w:vAlign w:val="center"/>
          </w:tcPr>
          <w:p>
            <w:pPr>
              <w:jc w:val="right"/>
              <w:rPr>
                <w:sz w:val="18"/>
              </w:rPr>
            </w:pPr>
            <w:r>
              <w:rPr>
                <w:sz w:val="18"/>
              </w:rPr>
              <w:t>1.085</w:t>
            </w:r>
          </w:p>
        </w:tc>
        <w:tc>
          <w:tcPr>
            <w:tcW w:w="0" w:type="auto"/>
            <w:tcBorders>
              <w:bottom w:val="single" w:sz="4" w:space="0" w:color="auto"/>
            </w:tcBorders>
            <w:shd w:val="clear" w:color="auto" w:fill="auto"/>
            <w:vAlign w:val="center"/>
          </w:tcPr>
          <w:p>
            <w:pPr>
              <w:jc w:val="right"/>
              <w:rPr>
                <w:sz w:val="18"/>
              </w:rPr>
            </w:pPr>
            <w:r>
              <w:rPr>
                <w:sz w:val="18"/>
              </w:rPr>
              <w:t>31,6%</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2015-10</w:t>
            </w:r>
          </w:p>
        </w:tc>
        <w:tc>
          <w:tcPr>
            <w:tcW w:w="0" w:type="auto"/>
            <w:tcBorders>
              <w:top w:val="single" w:sz="4" w:space="0" w:color="auto"/>
            </w:tcBorders>
            <w:shd w:val="clear" w:color="auto" w:fill="auto"/>
            <w:vAlign w:val="center"/>
          </w:tcPr>
          <w:p>
            <w:pPr>
              <w:jc w:val="right"/>
              <w:rPr>
                <w:sz w:val="18"/>
              </w:rPr>
            </w:pPr>
            <w:r>
              <w:rPr>
                <w:sz w:val="18"/>
              </w:rPr>
              <w:t>256</w:t>
            </w:r>
          </w:p>
        </w:tc>
        <w:tc>
          <w:tcPr>
            <w:tcW w:w="0" w:type="auto"/>
            <w:tcBorders>
              <w:top w:val="single" w:sz="4" w:space="0" w:color="auto"/>
            </w:tcBorders>
            <w:shd w:val="clear" w:color="auto" w:fill="auto"/>
            <w:vAlign w:val="center"/>
          </w:tcPr>
          <w:p>
            <w:pPr>
              <w:jc w:val="right"/>
              <w:rPr>
                <w:sz w:val="18"/>
              </w:rPr>
            </w:pPr>
            <w:r>
              <w:rPr>
                <w:sz w:val="18"/>
              </w:rPr>
              <w:t>3.686</w:t>
            </w:r>
          </w:p>
        </w:tc>
        <w:tc>
          <w:tcPr>
            <w:tcW w:w="0" w:type="auto"/>
            <w:tcBorders>
              <w:top w:val="single" w:sz="4" w:space="0" w:color="auto"/>
            </w:tcBorders>
            <w:shd w:val="clear" w:color="auto" w:fill="auto"/>
            <w:vAlign w:val="center"/>
          </w:tcPr>
          <w:p>
            <w:pPr>
              <w:jc w:val="right"/>
              <w:rPr>
                <w:sz w:val="18"/>
              </w:rPr>
            </w:pPr>
            <w:r>
              <w:rPr>
                <w:sz w:val="18"/>
              </w:rPr>
              <w:t>9</w:t>
            </w:r>
          </w:p>
        </w:tc>
        <w:tc>
          <w:tcPr>
            <w:tcW w:w="0" w:type="auto"/>
            <w:tcBorders>
              <w:top w:val="single" w:sz="4" w:space="0" w:color="auto"/>
            </w:tcBorders>
            <w:shd w:val="clear" w:color="auto" w:fill="auto"/>
            <w:vAlign w:val="center"/>
          </w:tcPr>
          <w:p>
            <w:pPr>
              <w:jc w:val="right"/>
              <w:rPr>
                <w:sz w:val="18"/>
              </w:rPr>
            </w:pPr>
            <w:r>
              <w:rPr>
                <w:sz w:val="18"/>
              </w:rPr>
              <w:t>1.035</w:t>
            </w:r>
          </w:p>
        </w:tc>
        <w:tc>
          <w:tcPr>
            <w:tcW w:w="0" w:type="auto"/>
            <w:tcBorders>
              <w:top w:val="single" w:sz="4" w:space="0" w:color="auto"/>
            </w:tcBorders>
            <w:shd w:val="clear" w:color="auto" w:fill="auto"/>
            <w:vAlign w:val="center"/>
          </w:tcPr>
          <w:p>
            <w:pPr>
              <w:jc w:val="right"/>
              <w:rPr>
                <w:sz w:val="18"/>
              </w:rPr>
            </w:pPr>
            <w:r>
              <w:rPr>
                <w:sz w:val="18"/>
              </w:rPr>
              <w:t>240</w:t>
            </w:r>
          </w:p>
        </w:tc>
        <w:tc>
          <w:tcPr>
            <w:tcW w:w="0" w:type="auto"/>
            <w:tcBorders>
              <w:top w:val="single" w:sz="4" w:space="0" w:color="auto"/>
            </w:tcBorders>
            <w:shd w:val="clear" w:color="auto" w:fill="auto"/>
            <w:vAlign w:val="center"/>
          </w:tcPr>
          <w:p>
            <w:pPr>
              <w:jc w:val="right"/>
              <w:rPr>
                <w:sz w:val="18"/>
              </w:rPr>
            </w:pPr>
            <w:r>
              <w:rPr>
                <w:sz w:val="18"/>
              </w:rPr>
              <w:t>1.325</w:t>
            </w:r>
          </w:p>
        </w:tc>
        <w:tc>
          <w:tcPr>
            <w:tcW w:w="0" w:type="auto"/>
            <w:tcBorders>
              <w:top w:val="single" w:sz="4" w:space="0" w:color="auto"/>
            </w:tcBorders>
            <w:shd w:val="clear" w:color="auto" w:fill="auto"/>
            <w:vAlign w:val="center"/>
          </w:tcPr>
          <w:p>
            <w:pPr>
              <w:jc w:val="right"/>
              <w:rPr>
                <w:sz w:val="18"/>
              </w:rPr>
            </w:pPr>
            <w:r>
              <w:rPr>
                <w:sz w:val="18"/>
              </w:rPr>
              <w:t>35,9%</w:t>
            </w:r>
          </w:p>
        </w:tc>
      </w:tr>
      <w:tr>
        <w:trPr>
          <w:trHeight w:hRule="exact" w:val="280"/>
        </w:trPr>
        <w:tc>
          <w:tcPr>
            <w:tcW w:w="0" w:type="auto"/>
            <w:shd w:val="clear" w:color="auto" w:fill="auto"/>
            <w:vAlign w:val="center"/>
          </w:tcPr>
          <w:p>
            <w:pPr>
              <w:jc w:val="left"/>
              <w:rPr>
                <w:sz w:val="18"/>
              </w:rPr>
            </w:pPr>
            <w:r>
              <w:rPr>
                <w:sz w:val="18"/>
              </w:rPr>
              <w:t>2015-11</w:t>
            </w:r>
          </w:p>
        </w:tc>
        <w:tc>
          <w:tcPr>
            <w:tcW w:w="0" w:type="auto"/>
            <w:shd w:val="clear" w:color="auto" w:fill="auto"/>
            <w:vAlign w:val="center"/>
          </w:tcPr>
          <w:p>
            <w:pPr>
              <w:jc w:val="right"/>
              <w:rPr>
                <w:sz w:val="18"/>
              </w:rPr>
            </w:pPr>
            <w:r>
              <w:rPr>
                <w:sz w:val="18"/>
              </w:rPr>
              <w:t>107</w:t>
            </w:r>
          </w:p>
        </w:tc>
        <w:tc>
          <w:tcPr>
            <w:tcW w:w="0" w:type="auto"/>
            <w:shd w:val="clear" w:color="auto" w:fill="auto"/>
            <w:vAlign w:val="center"/>
          </w:tcPr>
          <w:p>
            <w:pPr>
              <w:jc w:val="right"/>
              <w:rPr>
                <w:sz w:val="18"/>
              </w:rPr>
            </w:pPr>
            <w:r>
              <w:rPr>
                <w:sz w:val="18"/>
              </w:rPr>
              <w:t>3.793</w:t>
            </w:r>
          </w:p>
        </w:tc>
        <w:tc>
          <w:tcPr>
            <w:tcW w:w="0" w:type="auto"/>
            <w:shd w:val="clear" w:color="auto" w:fill="auto"/>
            <w:vAlign w:val="center"/>
          </w:tcPr>
          <w:p>
            <w:pPr>
              <w:jc w:val="right"/>
              <w:rPr>
                <w:sz w:val="18"/>
              </w:rPr>
            </w:pPr>
            <w:r>
              <w:rPr>
                <w:sz w:val="18"/>
              </w:rPr>
              <w:t>31</w:t>
            </w:r>
          </w:p>
        </w:tc>
        <w:tc>
          <w:tcPr>
            <w:tcW w:w="0" w:type="auto"/>
            <w:shd w:val="clear" w:color="auto" w:fill="auto"/>
            <w:vAlign w:val="center"/>
          </w:tcPr>
          <w:p>
            <w:pPr>
              <w:jc w:val="right"/>
              <w:rPr>
                <w:sz w:val="18"/>
              </w:rPr>
            </w:pPr>
            <w:r>
              <w:rPr>
                <w:sz w:val="18"/>
              </w:rPr>
              <w:t>1.066</w:t>
            </w:r>
          </w:p>
        </w:tc>
        <w:tc>
          <w:tcPr>
            <w:tcW w:w="0" w:type="auto"/>
            <w:shd w:val="clear" w:color="auto" w:fill="auto"/>
            <w:vAlign w:val="center"/>
          </w:tcPr>
          <w:p>
            <w:pPr>
              <w:jc w:val="right"/>
              <w:rPr>
                <w:sz w:val="18"/>
              </w:rPr>
            </w:pPr>
            <w:r>
              <w:rPr>
                <w:sz w:val="18"/>
              </w:rPr>
              <w:t>100</w:t>
            </w:r>
          </w:p>
        </w:tc>
        <w:tc>
          <w:tcPr>
            <w:tcW w:w="0" w:type="auto"/>
            <w:shd w:val="clear" w:color="auto" w:fill="auto"/>
            <w:vAlign w:val="center"/>
          </w:tcPr>
          <w:p>
            <w:pPr>
              <w:jc w:val="right"/>
              <w:rPr>
                <w:sz w:val="18"/>
              </w:rPr>
            </w:pPr>
            <w:r>
              <w:rPr>
                <w:sz w:val="18"/>
              </w:rPr>
              <w:t>1.425</w:t>
            </w:r>
          </w:p>
        </w:tc>
        <w:tc>
          <w:tcPr>
            <w:tcW w:w="0" w:type="auto"/>
            <w:shd w:val="clear" w:color="auto" w:fill="auto"/>
            <w:vAlign w:val="center"/>
          </w:tcPr>
          <w:p>
            <w:pPr>
              <w:jc w:val="right"/>
              <w:rPr>
                <w:sz w:val="18"/>
              </w:rPr>
            </w:pPr>
            <w:r>
              <w:rPr>
                <w:sz w:val="18"/>
              </w:rPr>
              <w:t>37,6%</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2015-12</w:t>
            </w:r>
          </w:p>
        </w:tc>
        <w:tc>
          <w:tcPr>
            <w:tcW w:w="0" w:type="auto"/>
            <w:tcBorders>
              <w:bottom w:val="single" w:sz="4" w:space="0" w:color="auto"/>
            </w:tcBorders>
            <w:shd w:val="clear" w:color="auto" w:fill="auto"/>
            <w:vAlign w:val="center"/>
          </w:tcPr>
          <w:p>
            <w:pPr>
              <w:jc w:val="right"/>
              <w:rPr>
                <w:sz w:val="18"/>
              </w:rPr>
            </w:pPr>
            <w:r>
              <w:rPr>
                <w:sz w:val="18"/>
              </w:rPr>
              <w:t>346</w:t>
            </w:r>
          </w:p>
        </w:tc>
        <w:tc>
          <w:tcPr>
            <w:tcW w:w="0" w:type="auto"/>
            <w:tcBorders>
              <w:bottom w:val="single" w:sz="4" w:space="0" w:color="auto"/>
            </w:tcBorders>
            <w:shd w:val="clear" w:color="auto" w:fill="auto"/>
            <w:vAlign w:val="center"/>
          </w:tcPr>
          <w:p>
            <w:pPr>
              <w:jc w:val="right"/>
              <w:rPr>
                <w:sz w:val="18"/>
              </w:rPr>
            </w:pPr>
            <w:r>
              <w:rPr>
                <w:sz w:val="18"/>
              </w:rPr>
              <w:t>4.139</w:t>
            </w:r>
          </w:p>
        </w:tc>
        <w:tc>
          <w:tcPr>
            <w:tcW w:w="0" w:type="auto"/>
            <w:tcBorders>
              <w:bottom w:val="single" w:sz="4" w:space="0" w:color="auto"/>
            </w:tcBorders>
            <w:shd w:val="clear" w:color="auto" w:fill="auto"/>
            <w:vAlign w:val="center"/>
          </w:tcPr>
          <w:p>
            <w:pPr>
              <w:jc w:val="right"/>
              <w:rPr>
                <w:sz w:val="18"/>
              </w:rPr>
            </w:pPr>
            <w:r>
              <w:rPr>
                <w:sz w:val="18"/>
              </w:rPr>
              <w:t>404</w:t>
            </w:r>
          </w:p>
        </w:tc>
        <w:tc>
          <w:tcPr>
            <w:tcW w:w="0" w:type="auto"/>
            <w:tcBorders>
              <w:bottom w:val="single" w:sz="4" w:space="0" w:color="auto"/>
            </w:tcBorders>
            <w:shd w:val="clear" w:color="auto" w:fill="auto"/>
            <w:vAlign w:val="center"/>
          </w:tcPr>
          <w:p>
            <w:pPr>
              <w:jc w:val="right"/>
              <w:rPr>
                <w:sz w:val="18"/>
              </w:rPr>
            </w:pPr>
            <w:r>
              <w:rPr>
                <w:sz w:val="18"/>
              </w:rPr>
              <w:t>1.470</w:t>
            </w:r>
          </w:p>
        </w:tc>
        <w:tc>
          <w:tcPr>
            <w:tcW w:w="0" w:type="auto"/>
            <w:tcBorders>
              <w:bottom w:val="single" w:sz="4" w:space="0" w:color="auto"/>
            </w:tcBorders>
            <w:shd w:val="clear" w:color="auto" w:fill="auto"/>
            <w:vAlign w:val="center"/>
          </w:tcPr>
          <w:p>
            <w:pPr>
              <w:jc w:val="right"/>
              <w:rPr>
                <w:sz w:val="18"/>
              </w:rPr>
            </w:pPr>
            <w:r>
              <w:rPr>
                <w:sz w:val="18"/>
              </w:rPr>
              <w:t>72</w:t>
            </w:r>
          </w:p>
        </w:tc>
        <w:tc>
          <w:tcPr>
            <w:tcW w:w="0" w:type="auto"/>
            <w:tcBorders>
              <w:bottom w:val="single" w:sz="4" w:space="0" w:color="auto"/>
            </w:tcBorders>
            <w:shd w:val="clear" w:color="auto" w:fill="auto"/>
            <w:vAlign w:val="center"/>
          </w:tcPr>
          <w:p>
            <w:pPr>
              <w:jc w:val="right"/>
              <w:rPr>
                <w:sz w:val="18"/>
              </w:rPr>
            </w:pPr>
            <w:r>
              <w:rPr>
                <w:sz w:val="18"/>
              </w:rPr>
              <w:t>1.497</w:t>
            </w:r>
          </w:p>
        </w:tc>
        <w:tc>
          <w:tcPr>
            <w:tcW w:w="0" w:type="auto"/>
            <w:tcBorders>
              <w:bottom w:val="single" w:sz="4" w:space="0" w:color="auto"/>
            </w:tcBorders>
            <w:shd w:val="clear" w:color="auto" w:fill="auto"/>
            <w:vAlign w:val="center"/>
          </w:tcPr>
          <w:p>
            <w:pPr>
              <w:jc w:val="right"/>
              <w:rPr>
                <w:sz w:val="18"/>
              </w:rPr>
            </w:pPr>
            <w:r>
              <w:rPr>
                <w:sz w:val="18"/>
              </w:rPr>
              <w:t>36,2%</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2016-01</w:t>
            </w:r>
          </w:p>
        </w:tc>
        <w:tc>
          <w:tcPr>
            <w:tcW w:w="0" w:type="auto"/>
            <w:tcBorders>
              <w:top w:val="single" w:sz="4" w:space="0" w:color="auto"/>
            </w:tcBorders>
            <w:shd w:val="clear" w:color="auto" w:fill="auto"/>
            <w:vAlign w:val="center"/>
          </w:tcPr>
          <w:p>
            <w:pPr>
              <w:jc w:val="right"/>
              <w:rPr>
                <w:sz w:val="18"/>
              </w:rPr>
            </w:pPr>
            <w:r>
              <w:rPr>
                <w:sz w:val="18"/>
              </w:rPr>
              <w:t>212</w:t>
            </w:r>
          </w:p>
        </w:tc>
        <w:tc>
          <w:tcPr>
            <w:tcW w:w="0" w:type="auto"/>
            <w:tcBorders>
              <w:top w:val="single" w:sz="4" w:space="0" w:color="auto"/>
            </w:tcBorders>
            <w:shd w:val="clear" w:color="auto" w:fill="auto"/>
            <w:vAlign w:val="center"/>
          </w:tcPr>
          <w:p>
            <w:pPr>
              <w:jc w:val="right"/>
              <w:rPr>
                <w:sz w:val="18"/>
              </w:rPr>
            </w:pPr>
            <w:r>
              <w:rPr>
                <w:sz w:val="18"/>
              </w:rPr>
              <w:t>4.351</w:t>
            </w:r>
          </w:p>
        </w:tc>
        <w:tc>
          <w:tcPr>
            <w:tcW w:w="0" w:type="auto"/>
            <w:tcBorders>
              <w:top w:val="single" w:sz="4" w:space="0" w:color="auto"/>
            </w:tcBorders>
            <w:shd w:val="clear" w:color="auto" w:fill="auto"/>
            <w:vAlign w:val="center"/>
          </w:tcPr>
          <w:p>
            <w:pPr>
              <w:jc w:val="right"/>
              <w:rPr>
                <w:sz w:val="18"/>
              </w:rPr>
            </w:pPr>
            <w:r>
              <w:rPr>
                <w:sz w:val="18"/>
              </w:rPr>
              <w:t>639</w:t>
            </w:r>
          </w:p>
        </w:tc>
        <w:tc>
          <w:tcPr>
            <w:tcW w:w="0" w:type="auto"/>
            <w:tcBorders>
              <w:top w:val="single" w:sz="4" w:space="0" w:color="auto"/>
            </w:tcBorders>
            <w:shd w:val="clear" w:color="auto" w:fill="auto"/>
            <w:vAlign w:val="center"/>
          </w:tcPr>
          <w:p>
            <w:pPr>
              <w:jc w:val="right"/>
              <w:rPr>
                <w:sz w:val="18"/>
              </w:rPr>
            </w:pPr>
            <w:r>
              <w:rPr>
                <w:sz w:val="18"/>
              </w:rPr>
              <w:t>2.109</w:t>
            </w:r>
          </w:p>
        </w:tc>
        <w:tc>
          <w:tcPr>
            <w:tcW w:w="0" w:type="auto"/>
            <w:tcBorders>
              <w:top w:val="single" w:sz="4" w:space="0" w:color="auto"/>
            </w:tcBorders>
            <w:shd w:val="clear" w:color="auto" w:fill="auto"/>
            <w:vAlign w:val="center"/>
          </w:tcPr>
          <w:p>
            <w:pPr>
              <w:jc w:val="right"/>
              <w:rPr>
                <w:sz w:val="18"/>
              </w:rPr>
            </w:pPr>
            <w:r>
              <w:rPr>
                <w:sz w:val="18"/>
              </w:rPr>
              <w:t>109</w:t>
            </w:r>
          </w:p>
        </w:tc>
        <w:tc>
          <w:tcPr>
            <w:tcW w:w="0" w:type="auto"/>
            <w:tcBorders>
              <w:top w:val="single" w:sz="4" w:space="0" w:color="auto"/>
            </w:tcBorders>
            <w:shd w:val="clear" w:color="auto" w:fill="auto"/>
            <w:vAlign w:val="center"/>
          </w:tcPr>
          <w:p>
            <w:pPr>
              <w:jc w:val="right"/>
              <w:rPr>
                <w:sz w:val="18"/>
              </w:rPr>
            </w:pPr>
            <w:r>
              <w:rPr>
                <w:sz w:val="18"/>
              </w:rPr>
              <w:t>1.606</w:t>
            </w:r>
          </w:p>
        </w:tc>
        <w:tc>
          <w:tcPr>
            <w:tcW w:w="0" w:type="auto"/>
            <w:tcBorders>
              <w:top w:val="single" w:sz="4" w:space="0" w:color="auto"/>
            </w:tcBorders>
            <w:shd w:val="clear" w:color="auto" w:fill="auto"/>
            <w:vAlign w:val="center"/>
          </w:tcPr>
          <w:p>
            <w:pPr>
              <w:jc w:val="right"/>
              <w:rPr>
                <w:sz w:val="18"/>
              </w:rPr>
            </w:pPr>
            <w:r>
              <w:rPr>
                <w:sz w:val="18"/>
              </w:rPr>
              <w:t>36,9%</w:t>
            </w:r>
          </w:p>
        </w:tc>
      </w:tr>
      <w:tr>
        <w:trPr>
          <w:trHeight w:hRule="exact" w:val="280"/>
        </w:trPr>
        <w:tc>
          <w:tcPr>
            <w:tcW w:w="0" w:type="auto"/>
            <w:shd w:val="clear" w:color="auto" w:fill="auto"/>
            <w:vAlign w:val="center"/>
          </w:tcPr>
          <w:p>
            <w:pPr>
              <w:jc w:val="left"/>
              <w:rPr>
                <w:sz w:val="18"/>
              </w:rPr>
            </w:pPr>
            <w:r>
              <w:rPr>
                <w:sz w:val="18"/>
              </w:rPr>
              <w:t>2016-02</w:t>
            </w:r>
          </w:p>
        </w:tc>
        <w:tc>
          <w:tcPr>
            <w:tcW w:w="0" w:type="auto"/>
            <w:shd w:val="clear" w:color="auto" w:fill="auto"/>
            <w:vAlign w:val="center"/>
          </w:tcPr>
          <w:p>
            <w:pPr>
              <w:jc w:val="right"/>
              <w:rPr>
                <w:sz w:val="18"/>
              </w:rPr>
            </w:pPr>
            <w:r>
              <w:rPr>
                <w:sz w:val="18"/>
              </w:rPr>
              <w:t>91</w:t>
            </w:r>
          </w:p>
        </w:tc>
        <w:tc>
          <w:tcPr>
            <w:tcW w:w="0" w:type="auto"/>
            <w:shd w:val="clear" w:color="auto" w:fill="auto"/>
            <w:vAlign w:val="center"/>
          </w:tcPr>
          <w:p>
            <w:pPr>
              <w:jc w:val="right"/>
              <w:rPr>
                <w:sz w:val="18"/>
              </w:rPr>
            </w:pPr>
            <w:r>
              <w:rPr>
                <w:sz w:val="18"/>
              </w:rPr>
              <w:t>4.442</w:t>
            </w:r>
          </w:p>
        </w:tc>
        <w:tc>
          <w:tcPr>
            <w:tcW w:w="0" w:type="auto"/>
            <w:shd w:val="clear" w:color="auto" w:fill="auto"/>
            <w:vAlign w:val="center"/>
          </w:tcPr>
          <w:p>
            <w:pPr>
              <w:jc w:val="right"/>
              <w:rPr>
                <w:sz w:val="18"/>
              </w:rPr>
            </w:pPr>
            <w:r>
              <w:rPr>
                <w:sz w:val="18"/>
              </w:rPr>
              <w:t>422</w:t>
            </w:r>
          </w:p>
        </w:tc>
        <w:tc>
          <w:tcPr>
            <w:tcW w:w="0" w:type="auto"/>
            <w:shd w:val="clear" w:color="auto" w:fill="auto"/>
            <w:vAlign w:val="center"/>
          </w:tcPr>
          <w:p>
            <w:pPr>
              <w:jc w:val="right"/>
              <w:rPr>
                <w:sz w:val="18"/>
              </w:rPr>
            </w:pPr>
            <w:r>
              <w:rPr>
                <w:sz w:val="18"/>
              </w:rPr>
              <w:t>2.531</w:t>
            </w:r>
          </w:p>
        </w:tc>
        <w:tc>
          <w:tcPr>
            <w:tcW w:w="0" w:type="auto"/>
            <w:shd w:val="clear" w:color="auto" w:fill="auto"/>
            <w:vAlign w:val="center"/>
          </w:tcPr>
          <w:p>
            <w:pPr>
              <w:jc w:val="right"/>
              <w:rPr>
                <w:sz w:val="18"/>
              </w:rPr>
            </w:pPr>
            <w:r>
              <w:rPr>
                <w:sz w:val="18"/>
              </w:rPr>
              <w:t>54</w:t>
            </w:r>
          </w:p>
        </w:tc>
        <w:tc>
          <w:tcPr>
            <w:tcW w:w="0" w:type="auto"/>
            <w:shd w:val="clear" w:color="auto" w:fill="auto"/>
            <w:vAlign w:val="center"/>
          </w:tcPr>
          <w:p>
            <w:pPr>
              <w:jc w:val="right"/>
              <w:rPr>
                <w:sz w:val="18"/>
              </w:rPr>
            </w:pPr>
            <w:r>
              <w:rPr>
                <w:sz w:val="18"/>
              </w:rPr>
              <w:t>1.660</w:t>
            </w:r>
          </w:p>
        </w:tc>
        <w:tc>
          <w:tcPr>
            <w:tcW w:w="0" w:type="auto"/>
            <w:shd w:val="clear" w:color="auto" w:fill="auto"/>
            <w:vAlign w:val="center"/>
          </w:tcPr>
          <w:p>
            <w:pPr>
              <w:jc w:val="right"/>
              <w:rPr>
                <w:sz w:val="18"/>
              </w:rPr>
            </w:pPr>
            <w:r>
              <w:rPr>
                <w:sz w:val="18"/>
              </w:rPr>
              <w:t>37,4%</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2016-03</w:t>
            </w:r>
          </w:p>
        </w:tc>
        <w:tc>
          <w:tcPr>
            <w:tcW w:w="0" w:type="auto"/>
            <w:tcBorders>
              <w:bottom w:val="single" w:sz="4" w:space="0" w:color="auto"/>
            </w:tcBorders>
            <w:shd w:val="clear" w:color="auto" w:fill="auto"/>
            <w:vAlign w:val="center"/>
          </w:tcPr>
          <w:p>
            <w:pPr>
              <w:jc w:val="right"/>
              <w:rPr>
                <w:sz w:val="18"/>
              </w:rPr>
            </w:pPr>
            <w:r>
              <w:rPr>
                <w:sz w:val="18"/>
              </w:rPr>
              <w:t>15</w:t>
            </w:r>
          </w:p>
        </w:tc>
        <w:tc>
          <w:tcPr>
            <w:tcW w:w="0" w:type="auto"/>
            <w:tcBorders>
              <w:bottom w:val="single" w:sz="4" w:space="0" w:color="auto"/>
            </w:tcBorders>
            <w:shd w:val="clear" w:color="auto" w:fill="auto"/>
            <w:vAlign w:val="center"/>
          </w:tcPr>
          <w:p>
            <w:pPr>
              <w:jc w:val="right"/>
              <w:rPr>
                <w:sz w:val="18"/>
              </w:rPr>
            </w:pPr>
            <w:r>
              <w:rPr>
                <w:sz w:val="18"/>
              </w:rPr>
              <w:t>4.457</w:t>
            </w:r>
          </w:p>
        </w:tc>
        <w:tc>
          <w:tcPr>
            <w:tcW w:w="0" w:type="auto"/>
            <w:tcBorders>
              <w:bottom w:val="single" w:sz="4" w:space="0" w:color="auto"/>
            </w:tcBorders>
            <w:shd w:val="clear" w:color="auto" w:fill="auto"/>
            <w:vAlign w:val="center"/>
          </w:tcPr>
          <w:p>
            <w:pPr>
              <w:jc w:val="right"/>
              <w:rPr>
                <w:sz w:val="18"/>
              </w:rPr>
            </w:pPr>
            <w:r>
              <w:rPr>
                <w:sz w:val="18"/>
              </w:rPr>
              <w:t>56</w:t>
            </w:r>
          </w:p>
        </w:tc>
        <w:tc>
          <w:tcPr>
            <w:tcW w:w="0" w:type="auto"/>
            <w:tcBorders>
              <w:bottom w:val="single" w:sz="4" w:space="0" w:color="auto"/>
            </w:tcBorders>
            <w:shd w:val="clear" w:color="auto" w:fill="auto"/>
            <w:vAlign w:val="center"/>
          </w:tcPr>
          <w:p>
            <w:pPr>
              <w:jc w:val="right"/>
              <w:rPr>
                <w:sz w:val="18"/>
              </w:rPr>
            </w:pPr>
            <w:r>
              <w:rPr>
                <w:sz w:val="18"/>
              </w:rPr>
              <w:t>2.587</w:t>
            </w:r>
          </w:p>
        </w:tc>
        <w:tc>
          <w:tcPr>
            <w:tcW w:w="0" w:type="auto"/>
            <w:tcBorders>
              <w:bottom w:val="single" w:sz="4" w:space="0" w:color="auto"/>
            </w:tcBorders>
            <w:shd w:val="clear" w:color="auto" w:fill="auto"/>
            <w:vAlign w:val="center"/>
          </w:tcPr>
          <w:p>
            <w:pPr>
              <w:jc w:val="right"/>
              <w:rPr>
                <w:sz w:val="18"/>
              </w:rPr>
            </w:pPr>
            <w:r>
              <w:rPr>
                <w:sz w:val="18"/>
              </w:rPr>
              <w:t>45</w:t>
            </w:r>
          </w:p>
        </w:tc>
        <w:tc>
          <w:tcPr>
            <w:tcW w:w="0" w:type="auto"/>
            <w:tcBorders>
              <w:bottom w:val="single" w:sz="4" w:space="0" w:color="auto"/>
            </w:tcBorders>
            <w:shd w:val="clear" w:color="auto" w:fill="auto"/>
            <w:vAlign w:val="center"/>
          </w:tcPr>
          <w:p>
            <w:pPr>
              <w:jc w:val="right"/>
              <w:rPr>
                <w:sz w:val="18"/>
              </w:rPr>
            </w:pPr>
            <w:r>
              <w:rPr>
                <w:sz w:val="18"/>
              </w:rPr>
              <w:t>1.705</w:t>
            </w:r>
          </w:p>
        </w:tc>
        <w:tc>
          <w:tcPr>
            <w:tcW w:w="0" w:type="auto"/>
            <w:tcBorders>
              <w:bottom w:val="single" w:sz="4" w:space="0" w:color="auto"/>
            </w:tcBorders>
            <w:shd w:val="clear" w:color="auto" w:fill="auto"/>
            <w:vAlign w:val="center"/>
          </w:tcPr>
          <w:p>
            <w:pPr>
              <w:jc w:val="right"/>
              <w:rPr>
                <w:sz w:val="18"/>
              </w:rPr>
            </w:pPr>
            <w:r>
              <w:rPr>
                <w:sz w:val="18"/>
              </w:rPr>
              <w:t>38,3%</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2016-04</w:t>
            </w:r>
          </w:p>
        </w:tc>
        <w:tc>
          <w:tcPr>
            <w:tcW w:w="0" w:type="auto"/>
            <w:tcBorders>
              <w:top w:val="single" w:sz="4" w:space="0" w:color="auto"/>
            </w:tcBorders>
            <w:shd w:val="clear" w:color="auto" w:fill="auto"/>
            <w:vAlign w:val="center"/>
          </w:tcPr>
          <w:p>
            <w:pPr>
              <w:jc w:val="right"/>
              <w:rPr>
                <w:sz w:val="18"/>
              </w:rPr>
            </w:pPr>
            <w:r>
              <w:rPr>
                <w:sz w:val="18"/>
              </w:rPr>
              <w:t>170</w:t>
            </w:r>
          </w:p>
        </w:tc>
        <w:tc>
          <w:tcPr>
            <w:tcW w:w="0" w:type="auto"/>
            <w:tcBorders>
              <w:top w:val="single" w:sz="4" w:space="0" w:color="auto"/>
            </w:tcBorders>
            <w:shd w:val="clear" w:color="auto" w:fill="auto"/>
            <w:vAlign w:val="center"/>
          </w:tcPr>
          <w:p>
            <w:pPr>
              <w:jc w:val="right"/>
              <w:rPr>
                <w:sz w:val="18"/>
              </w:rPr>
            </w:pPr>
            <w:r>
              <w:rPr>
                <w:sz w:val="18"/>
              </w:rPr>
              <w:t>4.627</w:t>
            </w:r>
          </w:p>
        </w:tc>
        <w:tc>
          <w:tcPr>
            <w:tcW w:w="0" w:type="auto"/>
            <w:tcBorders>
              <w:top w:val="single" w:sz="4" w:space="0" w:color="auto"/>
            </w:tcBorders>
            <w:shd w:val="clear" w:color="auto" w:fill="auto"/>
            <w:vAlign w:val="center"/>
          </w:tcPr>
          <w:p>
            <w:pPr>
              <w:jc w:val="right"/>
              <w:rPr>
                <w:sz w:val="18"/>
              </w:rPr>
            </w:pPr>
            <w:r>
              <w:rPr>
                <w:sz w:val="18"/>
              </w:rPr>
              <w:t>86</w:t>
            </w:r>
          </w:p>
        </w:tc>
        <w:tc>
          <w:tcPr>
            <w:tcW w:w="0" w:type="auto"/>
            <w:tcBorders>
              <w:top w:val="single" w:sz="4" w:space="0" w:color="auto"/>
            </w:tcBorders>
            <w:shd w:val="clear" w:color="auto" w:fill="auto"/>
            <w:vAlign w:val="center"/>
          </w:tcPr>
          <w:p>
            <w:pPr>
              <w:jc w:val="right"/>
              <w:rPr>
                <w:sz w:val="18"/>
              </w:rPr>
            </w:pPr>
            <w:r>
              <w:rPr>
                <w:sz w:val="18"/>
              </w:rPr>
              <w:t>2.673</w:t>
            </w:r>
          </w:p>
        </w:tc>
        <w:tc>
          <w:tcPr>
            <w:tcW w:w="0" w:type="auto"/>
            <w:tcBorders>
              <w:top w:val="single" w:sz="4" w:space="0" w:color="auto"/>
            </w:tcBorders>
            <w:shd w:val="clear" w:color="auto" w:fill="auto"/>
            <w:vAlign w:val="center"/>
          </w:tcPr>
          <w:p>
            <w:pPr>
              <w:jc w:val="right"/>
              <w:rPr>
                <w:sz w:val="18"/>
              </w:rPr>
            </w:pPr>
            <w:r>
              <w:rPr>
                <w:sz w:val="18"/>
              </w:rPr>
              <w:t>33</w:t>
            </w:r>
          </w:p>
        </w:tc>
        <w:tc>
          <w:tcPr>
            <w:tcW w:w="0" w:type="auto"/>
            <w:tcBorders>
              <w:top w:val="single" w:sz="4" w:space="0" w:color="auto"/>
            </w:tcBorders>
            <w:shd w:val="clear" w:color="auto" w:fill="auto"/>
            <w:vAlign w:val="center"/>
          </w:tcPr>
          <w:p>
            <w:pPr>
              <w:jc w:val="right"/>
              <w:rPr>
                <w:sz w:val="18"/>
              </w:rPr>
            </w:pPr>
            <w:r>
              <w:rPr>
                <w:sz w:val="18"/>
              </w:rPr>
              <w:t>1.738</w:t>
            </w:r>
          </w:p>
        </w:tc>
        <w:tc>
          <w:tcPr>
            <w:tcW w:w="0" w:type="auto"/>
            <w:tcBorders>
              <w:top w:val="single" w:sz="4" w:space="0" w:color="auto"/>
            </w:tcBorders>
            <w:shd w:val="clear" w:color="auto" w:fill="auto"/>
            <w:vAlign w:val="center"/>
          </w:tcPr>
          <w:p>
            <w:pPr>
              <w:jc w:val="right"/>
              <w:rPr>
                <w:sz w:val="18"/>
              </w:rPr>
            </w:pPr>
            <w:r>
              <w:rPr>
                <w:sz w:val="18"/>
              </w:rPr>
              <w:t>37,6%</w:t>
            </w:r>
          </w:p>
        </w:tc>
      </w:tr>
      <w:tr>
        <w:trPr>
          <w:trHeight w:hRule="exact" w:val="280"/>
        </w:trPr>
        <w:tc>
          <w:tcPr>
            <w:tcW w:w="0" w:type="auto"/>
            <w:shd w:val="clear" w:color="auto" w:fill="auto"/>
            <w:vAlign w:val="center"/>
          </w:tcPr>
          <w:p>
            <w:pPr>
              <w:jc w:val="left"/>
              <w:rPr>
                <w:sz w:val="18"/>
              </w:rPr>
            </w:pPr>
            <w:r>
              <w:rPr>
                <w:sz w:val="18"/>
              </w:rPr>
              <w:t>2016-05</w:t>
            </w:r>
          </w:p>
        </w:tc>
        <w:tc>
          <w:tcPr>
            <w:tcW w:w="0" w:type="auto"/>
            <w:shd w:val="clear" w:color="auto" w:fill="auto"/>
            <w:vAlign w:val="center"/>
          </w:tcPr>
          <w:p>
            <w:pPr>
              <w:jc w:val="right"/>
              <w:rPr>
                <w:sz w:val="18"/>
              </w:rPr>
            </w:pPr>
            <w:r>
              <w:rPr>
                <w:sz w:val="18"/>
              </w:rPr>
              <w:t>158</w:t>
            </w:r>
          </w:p>
        </w:tc>
        <w:tc>
          <w:tcPr>
            <w:tcW w:w="0" w:type="auto"/>
            <w:shd w:val="clear" w:color="auto" w:fill="auto"/>
            <w:vAlign w:val="center"/>
          </w:tcPr>
          <w:p>
            <w:pPr>
              <w:jc w:val="right"/>
              <w:rPr>
                <w:sz w:val="18"/>
              </w:rPr>
            </w:pPr>
            <w:r>
              <w:rPr>
                <w:sz w:val="18"/>
              </w:rPr>
              <w:t>4.785</w:t>
            </w:r>
          </w:p>
        </w:tc>
        <w:tc>
          <w:tcPr>
            <w:tcW w:w="0" w:type="auto"/>
            <w:shd w:val="clear" w:color="auto" w:fill="auto"/>
            <w:vAlign w:val="center"/>
          </w:tcPr>
          <w:p>
            <w:pPr>
              <w:jc w:val="right"/>
              <w:rPr>
                <w:sz w:val="18"/>
              </w:rPr>
            </w:pPr>
            <w:r>
              <w:rPr>
                <w:sz w:val="18"/>
              </w:rPr>
              <w:t>260</w:t>
            </w:r>
          </w:p>
        </w:tc>
        <w:tc>
          <w:tcPr>
            <w:tcW w:w="0" w:type="auto"/>
            <w:shd w:val="clear" w:color="auto" w:fill="auto"/>
            <w:vAlign w:val="center"/>
          </w:tcPr>
          <w:p>
            <w:pPr>
              <w:jc w:val="right"/>
              <w:rPr>
                <w:sz w:val="18"/>
              </w:rPr>
            </w:pPr>
            <w:r>
              <w:rPr>
                <w:sz w:val="18"/>
              </w:rPr>
              <w:t>2.933</w:t>
            </w:r>
          </w:p>
        </w:tc>
        <w:tc>
          <w:tcPr>
            <w:tcW w:w="0" w:type="auto"/>
            <w:shd w:val="clear" w:color="auto" w:fill="auto"/>
            <w:vAlign w:val="center"/>
          </w:tcPr>
          <w:p>
            <w:pPr>
              <w:jc w:val="right"/>
              <w:rPr>
                <w:sz w:val="18"/>
              </w:rPr>
            </w:pPr>
            <w:r>
              <w:rPr>
                <w:sz w:val="18"/>
              </w:rPr>
              <w:t>58</w:t>
            </w:r>
          </w:p>
        </w:tc>
        <w:tc>
          <w:tcPr>
            <w:tcW w:w="0" w:type="auto"/>
            <w:shd w:val="clear" w:color="auto" w:fill="auto"/>
            <w:vAlign w:val="center"/>
          </w:tcPr>
          <w:p>
            <w:pPr>
              <w:jc w:val="right"/>
              <w:rPr>
                <w:sz w:val="18"/>
              </w:rPr>
            </w:pPr>
            <w:r>
              <w:rPr>
                <w:sz w:val="18"/>
              </w:rPr>
              <w:t>1.796</w:t>
            </w:r>
          </w:p>
        </w:tc>
        <w:tc>
          <w:tcPr>
            <w:tcW w:w="0" w:type="auto"/>
            <w:shd w:val="clear" w:color="auto" w:fill="auto"/>
            <w:vAlign w:val="center"/>
          </w:tcPr>
          <w:p>
            <w:pPr>
              <w:jc w:val="right"/>
              <w:rPr>
                <w:sz w:val="18"/>
              </w:rPr>
            </w:pPr>
            <w:r>
              <w:rPr>
                <w:sz w:val="18"/>
              </w:rPr>
              <w:t>37,5%</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2016-06</w:t>
            </w:r>
          </w:p>
        </w:tc>
        <w:tc>
          <w:tcPr>
            <w:tcW w:w="0" w:type="auto"/>
            <w:tcBorders>
              <w:bottom w:val="single" w:sz="4" w:space="0" w:color="auto"/>
            </w:tcBorders>
            <w:shd w:val="clear" w:color="auto" w:fill="auto"/>
            <w:vAlign w:val="center"/>
          </w:tcPr>
          <w:p>
            <w:pPr>
              <w:jc w:val="right"/>
              <w:rPr>
                <w:sz w:val="18"/>
              </w:rPr>
            </w:pPr>
            <w:r>
              <w:rPr>
                <w:sz w:val="18"/>
              </w:rPr>
              <w:t>530</w:t>
            </w:r>
          </w:p>
        </w:tc>
        <w:tc>
          <w:tcPr>
            <w:tcW w:w="0" w:type="auto"/>
            <w:tcBorders>
              <w:bottom w:val="single" w:sz="4" w:space="0" w:color="auto"/>
            </w:tcBorders>
            <w:shd w:val="clear" w:color="auto" w:fill="auto"/>
            <w:vAlign w:val="center"/>
          </w:tcPr>
          <w:p>
            <w:pPr>
              <w:jc w:val="right"/>
              <w:rPr>
                <w:sz w:val="18"/>
              </w:rPr>
            </w:pPr>
            <w:r>
              <w:rPr>
                <w:sz w:val="18"/>
              </w:rPr>
              <w:t>5.315</w:t>
            </w:r>
          </w:p>
        </w:tc>
        <w:tc>
          <w:tcPr>
            <w:tcW w:w="0" w:type="auto"/>
            <w:tcBorders>
              <w:bottom w:val="single" w:sz="4" w:space="0" w:color="auto"/>
            </w:tcBorders>
            <w:shd w:val="clear" w:color="auto" w:fill="auto"/>
            <w:vAlign w:val="center"/>
          </w:tcPr>
          <w:p>
            <w:pPr>
              <w:jc w:val="right"/>
              <w:rPr>
                <w:sz w:val="18"/>
              </w:rPr>
            </w:pPr>
            <w:r>
              <w:rPr>
                <w:sz w:val="18"/>
              </w:rPr>
              <w:t>676</w:t>
            </w:r>
          </w:p>
        </w:tc>
        <w:tc>
          <w:tcPr>
            <w:tcW w:w="0" w:type="auto"/>
            <w:tcBorders>
              <w:bottom w:val="single" w:sz="4" w:space="0" w:color="auto"/>
            </w:tcBorders>
            <w:shd w:val="clear" w:color="auto" w:fill="auto"/>
            <w:vAlign w:val="center"/>
          </w:tcPr>
          <w:p>
            <w:pPr>
              <w:jc w:val="right"/>
              <w:rPr>
                <w:sz w:val="18"/>
              </w:rPr>
            </w:pPr>
            <w:r>
              <w:rPr>
                <w:sz w:val="18"/>
              </w:rPr>
              <w:t>3.609</w:t>
            </w:r>
          </w:p>
        </w:tc>
        <w:tc>
          <w:tcPr>
            <w:tcW w:w="0" w:type="auto"/>
            <w:tcBorders>
              <w:bottom w:val="single" w:sz="4" w:space="0" w:color="auto"/>
            </w:tcBorders>
            <w:shd w:val="clear" w:color="auto" w:fill="auto"/>
            <w:vAlign w:val="center"/>
          </w:tcPr>
          <w:p>
            <w:pPr>
              <w:jc w:val="right"/>
              <w:rPr>
                <w:sz w:val="18"/>
              </w:rPr>
            </w:pPr>
            <w:r>
              <w:rPr>
                <w:sz w:val="18"/>
              </w:rPr>
              <w:t>90</w:t>
            </w:r>
          </w:p>
        </w:tc>
        <w:tc>
          <w:tcPr>
            <w:tcW w:w="0" w:type="auto"/>
            <w:tcBorders>
              <w:bottom w:val="single" w:sz="4" w:space="0" w:color="auto"/>
            </w:tcBorders>
            <w:shd w:val="clear" w:color="auto" w:fill="auto"/>
            <w:vAlign w:val="center"/>
          </w:tcPr>
          <w:p>
            <w:pPr>
              <w:jc w:val="right"/>
              <w:rPr>
                <w:sz w:val="18"/>
              </w:rPr>
            </w:pPr>
            <w:r>
              <w:rPr>
                <w:sz w:val="18"/>
              </w:rPr>
              <w:t>1.886</w:t>
            </w:r>
          </w:p>
        </w:tc>
        <w:tc>
          <w:tcPr>
            <w:tcW w:w="0" w:type="auto"/>
            <w:tcBorders>
              <w:bottom w:val="single" w:sz="4" w:space="0" w:color="auto"/>
            </w:tcBorders>
            <w:shd w:val="clear" w:color="auto" w:fill="auto"/>
            <w:vAlign w:val="center"/>
          </w:tcPr>
          <w:p>
            <w:pPr>
              <w:jc w:val="right"/>
              <w:rPr>
                <w:sz w:val="18"/>
              </w:rPr>
            </w:pPr>
            <w:r>
              <w:rPr>
                <w:sz w:val="18"/>
              </w:rPr>
              <w:t>35,5%</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2016-07</w:t>
            </w:r>
          </w:p>
        </w:tc>
        <w:tc>
          <w:tcPr>
            <w:tcW w:w="0" w:type="auto"/>
            <w:tcBorders>
              <w:top w:val="single" w:sz="4" w:space="0" w:color="auto"/>
            </w:tcBorders>
            <w:shd w:val="clear" w:color="auto" w:fill="auto"/>
            <w:vAlign w:val="center"/>
          </w:tcPr>
          <w:p>
            <w:pPr>
              <w:jc w:val="right"/>
              <w:rPr>
                <w:sz w:val="18"/>
              </w:rPr>
            </w:pPr>
            <w:r>
              <w:rPr>
                <w:sz w:val="18"/>
              </w:rPr>
              <w:t>882</w:t>
            </w:r>
          </w:p>
        </w:tc>
        <w:tc>
          <w:tcPr>
            <w:tcW w:w="0" w:type="auto"/>
            <w:tcBorders>
              <w:top w:val="single" w:sz="4" w:space="0" w:color="auto"/>
            </w:tcBorders>
            <w:shd w:val="clear" w:color="auto" w:fill="auto"/>
            <w:vAlign w:val="center"/>
          </w:tcPr>
          <w:p>
            <w:pPr>
              <w:jc w:val="right"/>
              <w:rPr>
                <w:sz w:val="18"/>
              </w:rPr>
            </w:pPr>
            <w:r>
              <w:rPr>
                <w:sz w:val="18"/>
              </w:rPr>
              <w:t>6.197</w:t>
            </w:r>
          </w:p>
        </w:tc>
        <w:tc>
          <w:tcPr>
            <w:tcW w:w="0" w:type="auto"/>
            <w:tcBorders>
              <w:top w:val="single" w:sz="4" w:space="0" w:color="auto"/>
            </w:tcBorders>
            <w:shd w:val="clear" w:color="auto" w:fill="auto"/>
            <w:vAlign w:val="center"/>
          </w:tcPr>
          <w:p>
            <w:pPr>
              <w:jc w:val="right"/>
              <w:rPr>
                <w:sz w:val="18"/>
              </w:rPr>
            </w:pPr>
            <w:r>
              <w:rPr>
                <w:sz w:val="18"/>
              </w:rPr>
              <w:t>255</w:t>
            </w:r>
          </w:p>
        </w:tc>
        <w:tc>
          <w:tcPr>
            <w:tcW w:w="0" w:type="auto"/>
            <w:tcBorders>
              <w:top w:val="single" w:sz="4" w:space="0" w:color="auto"/>
            </w:tcBorders>
            <w:shd w:val="clear" w:color="auto" w:fill="auto"/>
            <w:vAlign w:val="center"/>
          </w:tcPr>
          <w:p>
            <w:pPr>
              <w:jc w:val="right"/>
              <w:rPr>
                <w:sz w:val="18"/>
              </w:rPr>
            </w:pPr>
            <w:r>
              <w:rPr>
                <w:sz w:val="18"/>
              </w:rPr>
              <w:t>3.864</w:t>
            </w:r>
          </w:p>
        </w:tc>
        <w:tc>
          <w:tcPr>
            <w:tcW w:w="0" w:type="auto"/>
            <w:tcBorders>
              <w:top w:val="single" w:sz="4" w:space="0" w:color="auto"/>
            </w:tcBorders>
            <w:shd w:val="clear" w:color="auto" w:fill="auto"/>
            <w:vAlign w:val="center"/>
          </w:tcPr>
          <w:p>
            <w:pPr>
              <w:jc w:val="right"/>
              <w:rPr>
                <w:sz w:val="18"/>
              </w:rPr>
            </w:pPr>
            <w:r>
              <w:rPr>
                <w:sz w:val="18"/>
              </w:rPr>
              <w:t>221</w:t>
            </w:r>
          </w:p>
        </w:tc>
        <w:tc>
          <w:tcPr>
            <w:tcW w:w="0" w:type="auto"/>
            <w:tcBorders>
              <w:top w:val="single" w:sz="4" w:space="0" w:color="auto"/>
            </w:tcBorders>
            <w:shd w:val="clear" w:color="auto" w:fill="auto"/>
            <w:vAlign w:val="center"/>
          </w:tcPr>
          <w:p>
            <w:pPr>
              <w:jc w:val="right"/>
              <w:rPr>
                <w:sz w:val="18"/>
              </w:rPr>
            </w:pPr>
            <w:r>
              <w:rPr>
                <w:sz w:val="18"/>
              </w:rPr>
              <w:t>2.107</w:t>
            </w:r>
          </w:p>
        </w:tc>
        <w:tc>
          <w:tcPr>
            <w:tcW w:w="0" w:type="auto"/>
            <w:tcBorders>
              <w:top w:val="single" w:sz="4" w:space="0" w:color="auto"/>
            </w:tcBorders>
            <w:shd w:val="clear" w:color="auto" w:fill="auto"/>
            <w:vAlign w:val="center"/>
          </w:tcPr>
          <w:p>
            <w:pPr>
              <w:jc w:val="right"/>
              <w:rPr>
                <w:sz w:val="18"/>
              </w:rPr>
            </w:pPr>
            <w:r>
              <w:rPr>
                <w:sz w:val="18"/>
              </w:rPr>
              <w:t>34,0%</w:t>
            </w:r>
          </w:p>
        </w:tc>
      </w:tr>
      <w:tr>
        <w:trPr>
          <w:trHeight w:hRule="exact" w:val="280"/>
        </w:trPr>
        <w:tc>
          <w:tcPr>
            <w:tcW w:w="0" w:type="auto"/>
            <w:shd w:val="clear" w:color="auto" w:fill="auto"/>
            <w:vAlign w:val="center"/>
          </w:tcPr>
          <w:p>
            <w:pPr>
              <w:jc w:val="left"/>
              <w:rPr>
                <w:sz w:val="18"/>
              </w:rPr>
            </w:pPr>
            <w:r>
              <w:rPr>
                <w:sz w:val="18"/>
              </w:rPr>
              <w:t>2016-08</w:t>
            </w:r>
          </w:p>
        </w:tc>
        <w:tc>
          <w:tcPr>
            <w:tcW w:w="0" w:type="auto"/>
            <w:shd w:val="clear" w:color="auto" w:fill="auto"/>
            <w:vAlign w:val="center"/>
          </w:tcPr>
          <w:p>
            <w:pPr>
              <w:jc w:val="right"/>
              <w:rPr>
                <w:sz w:val="18"/>
              </w:rPr>
            </w:pPr>
            <w:r>
              <w:rPr>
                <w:sz w:val="18"/>
              </w:rPr>
              <w:t>243</w:t>
            </w:r>
          </w:p>
        </w:tc>
        <w:tc>
          <w:tcPr>
            <w:tcW w:w="0" w:type="auto"/>
            <w:shd w:val="clear" w:color="auto" w:fill="auto"/>
            <w:vAlign w:val="center"/>
          </w:tcPr>
          <w:p>
            <w:pPr>
              <w:jc w:val="right"/>
              <w:rPr>
                <w:sz w:val="18"/>
              </w:rPr>
            </w:pPr>
            <w:r>
              <w:rPr>
                <w:sz w:val="18"/>
              </w:rPr>
              <w:t>6.440</w:t>
            </w:r>
          </w:p>
        </w:tc>
        <w:tc>
          <w:tcPr>
            <w:tcW w:w="0" w:type="auto"/>
            <w:shd w:val="clear" w:color="auto" w:fill="auto"/>
            <w:vAlign w:val="center"/>
          </w:tcPr>
          <w:p>
            <w:pPr>
              <w:jc w:val="right"/>
              <w:rPr>
                <w:sz w:val="18"/>
              </w:rPr>
            </w:pPr>
            <w:r>
              <w:rPr>
                <w:sz w:val="18"/>
              </w:rPr>
              <w:t>75</w:t>
            </w:r>
          </w:p>
        </w:tc>
        <w:tc>
          <w:tcPr>
            <w:tcW w:w="0" w:type="auto"/>
            <w:shd w:val="clear" w:color="auto" w:fill="auto"/>
            <w:vAlign w:val="center"/>
          </w:tcPr>
          <w:p>
            <w:pPr>
              <w:jc w:val="right"/>
              <w:rPr>
                <w:sz w:val="18"/>
              </w:rPr>
            </w:pPr>
            <w:r>
              <w:rPr>
                <w:sz w:val="18"/>
              </w:rPr>
              <w:t>3.939</w:t>
            </w:r>
          </w:p>
        </w:tc>
        <w:tc>
          <w:tcPr>
            <w:tcW w:w="0" w:type="auto"/>
            <w:shd w:val="clear" w:color="auto" w:fill="auto"/>
            <w:vAlign w:val="center"/>
          </w:tcPr>
          <w:p>
            <w:pPr>
              <w:jc w:val="right"/>
              <w:rPr>
                <w:sz w:val="18"/>
              </w:rPr>
            </w:pPr>
            <w:r>
              <w:rPr>
                <w:sz w:val="18"/>
              </w:rPr>
              <w:t>262</w:t>
            </w:r>
          </w:p>
        </w:tc>
        <w:tc>
          <w:tcPr>
            <w:tcW w:w="0" w:type="auto"/>
            <w:shd w:val="clear" w:color="auto" w:fill="auto"/>
            <w:vAlign w:val="center"/>
          </w:tcPr>
          <w:p>
            <w:pPr>
              <w:jc w:val="right"/>
              <w:rPr>
                <w:sz w:val="18"/>
              </w:rPr>
            </w:pPr>
            <w:r>
              <w:rPr>
                <w:sz w:val="18"/>
              </w:rPr>
              <w:t>2.369</w:t>
            </w:r>
          </w:p>
        </w:tc>
        <w:tc>
          <w:tcPr>
            <w:tcW w:w="0" w:type="auto"/>
            <w:shd w:val="clear" w:color="auto" w:fill="auto"/>
            <w:vAlign w:val="center"/>
          </w:tcPr>
          <w:p>
            <w:pPr>
              <w:jc w:val="right"/>
              <w:rPr>
                <w:sz w:val="18"/>
              </w:rPr>
            </w:pPr>
            <w:r>
              <w:rPr>
                <w:sz w:val="18"/>
              </w:rPr>
              <w:t>36,8%</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2016-09</w:t>
            </w:r>
          </w:p>
        </w:tc>
        <w:tc>
          <w:tcPr>
            <w:tcW w:w="0" w:type="auto"/>
            <w:tcBorders>
              <w:bottom w:val="single" w:sz="4" w:space="0" w:color="auto"/>
            </w:tcBorders>
            <w:shd w:val="clear" w:color="auto" w:fill="auto"/>
            <w:vAlign w:val="center"/>
          </w:tcPr>
          <w:p>
            <w:pPr>
              <w:jc w:val="right"/>
              <w:rPr>
                <w:sz w:val="18"/>
              </w:rPr>
            </w:pPr>
            <w:r>
              <w:rPr>
                <w:sz w:val="18"/>
              </w:rPr>
              <w:t>107</w:t>
            </w:r>
          </w:p>
        </w:tc>
        <w:tc>
          <w:tcPr>
            <w:tcW w:w="0" w:type="auto"/>
            <w:tcBorders>
              <w:bottom w:val="single" w:sz="4" w:space="0" w:color="auto"/>
            </w:tcBorders>
            <w:shd w:val="clear" w:color="auto" w:fill="auto"/>
            <w:vAlign w:val="center"/>
          </w:tcPr>
          <w:p>
            <w:pPr>
              <w:jc w:val="right"/>
              <w:rPr>
                <w:sz w:val="18"/>
              </w:rPr>
            </w:pPr>
            <w:r>
              <w:rPr>
                <w:sz w:val="18"/>
              </w:rPr>
              <w:t>6.547</w:t>
            </w:r>
          </w:p>
        </w:tc>
        <w:tc>
          <w:tcPr>
            <w:tcW w:w="0" w:type="auto"/>
            <w:tcBorders>
              <w:bottom w:val="single" w:sz="4" w:space="0" w:color="auto"/>
            </w:tcBorders>
            <w:shd w:val="clear" w:color="auto" w:fill="auto"/>
            <w:vAlign w:val="center"/>
          </w:tcPr>
          <w:p>
            <w:pPr>
              <w:jc w:val="right"/>
              <w:rPr>
                <w:sz w:val="18"/>
              </w:rPr>
            </w:pPr>
            <w:r>
              <w:rPr>
                <w:sz w:val="18"/>
              </w:rPr>
              <w:t>39</w:t>
            </w:r>
          </w:p>
        </w:tc>
        <w:tc>
          <w:tcPr>
            <w:tcW w:w="0" w:type="auto"/>
            <w:tcBorders>
              <w:bottom w:val="single" w:sz="4" w:space="0" w:color="auto"/>
            </w:tcBorders>
            <w:shd w:val="clear" w:color="auto" w:fill="auto"/>
            <w:vAlign w:val="center"/>
          </w:tcPr>
          <w:p>
            <w:pPr>
              <w:jc w:val="right"/>
              <w:rPr>
                <w:sz w:val="18"/>
              </w:rPr>
            </w:pPr>
            <w:r>
              <w:rPr>
                <w:sz w:val="18"/>
              </w:rPr>
              <w:t>3.978</w:t>
            </w:r>
          </w:p>
        </w:tc>
        <w:tc>
          <w:tcPr>
            <w:tcW w:w="0" w:type="auto"/>
            <w:tcBorders>
              <w:bottom w:val="single" w:sz="4" w:space="0" w:color="auto"/>
            </w:tcBorders>
            <w:shd w:val="clear" w:color="auto" w:fill="auto"/>
            <w:vAlign w:val="center"/>
          </w:tcPr>
          <w:p>
            <w:pPr>
              <w:jc w:val="right"/>
              <w:rPr>
                <w:sz w:val="18"/>
              </w:rPr>
            </w:pPr>
            <w:r>
              <w:rPr>
                <w:sz w:val="18"/>
              </w:rPr>
              <w:t>70</w:t>
            </w:r>
          </w:p>
        </w:tc>
        <w:tc>
          <w:tcPr>
            <w:tcW w:w="0" w:type="auto"/>
            <w:tcBorders>
              <w:bottom w:val="single" w:sz="4" w:space="0" w:color="auto"/>
            </w:tcBorders>
            <w:shd w:val="clear" w:color="auto" w:fill="auto"/>
            <w:vAlign w:val="center"/>
          </w:tcPr>
          <w:p>
            <w:pPr>
              <w:jc w:val="right"/>
              <w:rPr>
                <w:sz w:val="18"/>
              </w:rPr>
            </w:pPr>
            <w:r>
              <w:rPr>
                <w:sz w:val="18"/>
              </w:rPr>
              <w:t>2.439</w:t>
            </w:r>
          </w:p>
        </w:tc>
        <w:tc>
          <w:tcPr>
            <w:tcW w:w="0" w:type="auto"/>
            <w:tcBorders>
              <w:bottom w:val="single" w:sz="4" w:space="0" w:color="auto"/>
            </w:tcBorders>
            <w:shd w:val="clear" w:color="auto" w:fill="auto"/>
            <w:vAlign w:val="center"/>
          </w:tcPr>
          <w:p>
            <w:pPr>
              <w:jc w:val="right"/>
              <w:rPr>
                <w:sz w:val="18"/>
              </w:rPr>
            </w:pPr>
            <w:r>
              <w:rPr>
                <w:sz w:val="18"/>
              </w:rPr>
              <w:t>37,3%</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2016-10</w:t>
            </w:r>
          </w:p>
        </w:tc>
        <w:tc>
          <w:tcPr>
            <w:tcW w:w="0" w:type="auto"/>
            <w:tcBorders>
              <w:top w:val="single" w:sz="4" w:space="0" w:color="auto"/>
            </w:tcBorders>
            <w:shd w:val="clear" w:color="auto" w:fill="auto"/>
            <w:vAlign w:val="center"/>
          </w:tcPr>
          <w:p>
            <w:pPr>
              <w:jc w:val="right"/>
              <w:rPr>
                <w:sz w:val="18"/>
              </w:rPr>
            </w:pPr>
            <w:r>
              <w:rPr>
                <w:sz w:val="18"/>
              </w:rPr>
              <w:t>423</w:t>
            </w:r>
          </w:p>
        </w:tc>
        <w:tc>
          <w:tcPr>
            <w:tcW w:w="0" w:type="auto"/>
            <w:tcBorders>
              <w:top w:val="single" w:sz="4" w:space="0" w:color="auto"/>
            </w:tcBorders>
            <w:shd w:val="clear" w:color="auto" w:fill="auto"/>
            <w:vAlign w:val="center"/>
          </w:tcPr>
          <w:p>
            <w:pPr>
              <w:jc w:val="right"/>
              <w:rPr>
                <w:sz w:val="18"/>
              </w:rPr>
            </w:pPr>
            <w:r>
              <w:rPr>
                <w:sz w:val="18"/>
              </w:rPr>
              <w:t>6.970</w:t>
            </w:r>
          </w:p>
        </w:tc>
        <w:tc>
          <w:tcPr>
            <w:tcW w:w="0" w:type="auto"/>
            <w:tcBorders>
              <w:top w:val="single" w:sz="4" w:space="0" w:color="auto"/>
            </w:tcBorders>
            <w:shd w:val="clear" w:color="auto" w:fill="auto"/>
            <w:vAlign w:val="center"/>
          </w:tcPr>
          <w:p>
            <w:pPr>
              <w:jc w:val="right"/>
              <w:rPr>
                <w:sz w:val="18"/>
              </w:rPr>
            </w:pPr>
            <w:r>
              <w:rPr>
                <w:sz w:val="18"/>
              </w:rPr>
              <w:t>15</w:t>
            </w:r>
          </w:p>
        </w:tc>
        <w:tc>
          <w:tcPr>
            <w:tcW w:w="0" w:type="auto"/>
            <w:tcBorders>
              <w:top w:val="single" w:sz="4" w:space="0" w:color="auto"/>
            </w:tcBorders>
            <w:shd w:val="clear" w:color="auto" w:fill="auto"/>
            <w:vAlign w:val="center"/>
          </w:tcPr>
          <w:p>
            <w:pPr>
              <w:jc w:val="right"/>
              <w:rPr>
                <w:sz w:val="18"/>
              </w:rPr>
            </w:pPr>
            <w:r>
              <w:rPr>
                <w:sz w:val="18"/>
              </w:rPr>
              <w:t>3.993</w:t>
            </w:r>
          </w:p>
        </w:tc>
        <w:tc>
          <w:tcPr>
            <w:tcW w:w="0" w:type="auto"/>
            <w:tcBorders>
              <w:top w:val="single" w:sz="4" w:space="0" w:color="auto"/>
            </w:tcBorders>
            <w:shd w:val="clear" w:color="auto" w:fill="auto"/>
            <w:vAlign w:val="center"/>
          </w:tcPr>
          <w:p>
            <w:pPr>
              <w:jc w:val="right"/>
              <w:rPr>
                <w:sz w:val="18"/>
              </w:rPr>
            </w:pPr>
            <w:r>
              <w:rPr>
                <w:sz w:val="18"/>
              </w:rPr>
              <w:t>142</w:t>
            </w:r>
          </w:p>
        </w:tc>
        <w:tc>
          <w:tcPr>
            <w:tcW w:w="0" w:type="auto"/>
            <w:tcBorders>
              <w:top w:val="single" w:sz="4" w:space="0" w:color="auto"/>
            </w:tcBorders>
            <w:shd w:val="clear" w:color="auto" w:fill="auto"/>
            <w:vAlign w:val="center"/>
          </w:tcPr>
          <w:p>
            <w:pPr>
              <w:jc w:val="right"/>
              <w:rPr>
                <w:sz w:val="18"/>
              </w:rPr>
            </w:pPr>
            <w:r>
              <w:rPr>
                <w:sz w:val="18"/>
              </w:rPr>
              <w:t>2.581</w:t>
            </w:r>
          </w:p>
        </w:tc>
        <w:tc>
          <w:tcPr>
            <w:tcW w:w="0" w:type="auto"/>
            <w:tcBorders>
              <w:top w:val="single" w:sz="4" w:space="0" w:color="auto"/>
            </w:tcBorders>
            <w:shd w:val="clear" w:color="auto" w:fill="auto"/>
            <w:vAlign w:val="center"/>
          </w:tcPr>
          <w:p>
            <w:pPr>
              <w:jc w:val="right"/>
              <w:rPr>
                <w:sz w:val="18"/>
              </w:rPr>
            </w:pPr>
            <w:r>
              <w:rPr>
                <w:sz w:val="18"/>
              </w:rPr>
              <w:t>37,0%</w:t>
            </w:r>
          </w:p>
        </w:tc>
      </w:tr>
      <w:tr>
        <w:trPr>
          <w:trHeight w:hRule="exact" w:val="280"/>
        </w:trPr>
        <w:tc>
          <w:tcPr>
            <w:tcW w:w="0" w:type="auto"/>
            <w:shd w:val="clear" w:color="auto" w:fill="auto"/>
            <w:vAlign w:val="center"/>
          </w:tcPr>
          <w:p>
            <w:pPr>
              <w:jc w:val="left"/>
              <w:rPr>
                <w:sz w:val="18"/>
              </w:rPr>
            </w:pPr>
            <w:r>
              <w:rPr>
                <w:sz w:val="18"/>
              </w:rPr>
              <w:t>2016-11</w:t>
            </w:r>
          </w:p>
        </w:tc>
        <w:tc>
          <w:tcPr>
            <w:tcW w:w="0" w:type="auto"/>
            <w:shd w:val="clear" w:color="auto" w:fill="auto"/>
            <w:vAlign w:val="center"/>
          </w:tcPr>
          <w:p>
            <w:pPr>
              <w:jc w:val="right"/>
              <w:rPr>
                <w:sz w:val="18"/>
              </w:rPr>
            </w:pPr>
            <w:r>
              <w:rPr>
                <w:sz w:val="18"/>
              </w:rPr>
              <w:t>231</w:t>
            </w:r>
          </w:p>
        </w:tc>
        <w:tc>
          <w:tcPr>
            <w:tcW w:w="0" w:type="auto"/>
            <w:shd w:val="clear" w:color="auto" w:fill="auto"/>
            <w:vAlign w:val="center"/>
          </w:tcPr>
          <w:p>
            <w:pPr>
              <w:jc w:val="right"/>
              <w:rPr>
                <w:sz w:val="18"/>
              </w:rPr>
            </w:pPr>
            <w:r>
              <w:rPr>
                <w:sz w:val="18"/>
              </w:rPr>
              <w:t>7.201</w:t>
            </w:r>
          </w:p>
        </w:tc>
        <w:tc>
          <w:tcPr>
            <w:tcW w:w="0" w:type="auto"/>
            <w:shd w:val="clear" w:color="auto" w:fill="auto"/>
            <w:vAlign w:val="center"/>
          </w:tcPr>
          <w:p>
            <w:pPr>
              <w:jc w:val="right"/>
              <w:rPr>
                <w:sz w:val="18"/>
              </w:rPr>
            </w:pPr>
            <w:r>
              <w:rPr>
                <w:sz w:val="18"/>
              </w:rPr>
              <w:t>7</w:t>
            </w:r>
          </w:p>
        </w:tc>
        <w:tc>
          <w:tcPr>
            <w:tcW w:w="0" w:type="auto"/>
            <w:shd w:val="clear" w:color="auto" w:fill="auto"/>
            <w:vAlign w:val="center"/>
          </w:tcPr>
          <w:p>
            <w:pPr>
              <w:jc w:val="right"/>
              <w:rPr>
                <w:sz w:val="18"/>
              </w:rPr>
            </w:pPr>
            <w:r>
              <w:rPr>
                <w:sz w:val="18"/>
              </w:rPr>
              <w:t>4.000</w:t>
            </w:r>
          </w:p>
        </w:tc>
        <w:tc>
          <w:tcPr>
            <w:tcW w:w="0" w:type="auto"/>
            <w:shd w:val="clear" w:color="auto" w:fill="auto"/>
            <w:vAlign w:val="center"/>
          </w:tcPr>
          <w:p>
            <w:pPr>
              <w:jc w:val="right"/>
              <w:rPr>
                <w:sz w:val="18"/>
              </w:rPr>
            </w:pPr>
            <w:r>
              <w:rPr>
                <w:sz w:val="18"/>
              </w:rPr>
              <w:t>162</w:t>
            </w:r>
          </w:p>
        </w:tc>
        <w:tc>
          <w:tcPr>
            <w:tcW w:w="0" w:type="auto"/>
            <w:shd w:val="clear" w:color="auto" w:fill="auto"/>
            <w:vAlign w:val="center"/>
          </w:tcPr>
          <w:p>
            <w:pPr>
              <w:jc w:val="right"/>
              <w:rPr>
                <w:sz w:val="18"/>
              </w:rPr>
            </w:pPr>
            <w:r>
              <w:rPr>
                <w:sz w:val="18"/>
              </w:rPr>
              <w:t>2.743</w:t>
            </w:r>
          </w:p>
        </w:tc>
        <w:tc>
          <w:tcPr>
            <w:tcW w:w="0" w:type="auto"/>
            <w:shd w:val="clear" w:color="auto" w:fill="auto"/>
            <w:vAlign w:val="center"/>
          </w:tcPr>
          <w:p>
            <w:pPr>
              <w:jc w:val="right"/>
              <w:rPr>
                <w:sz w:val="18"/>
              </w:rPr>
            </w:pPr>
            <w:r>
              <w:rPr>
                <w:sz w:val="18"/>
              </w:rPr>
              <w:t>38,1%</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2016-12</w:t>
            </w:r>
          </w:p>
        </w:tc>
        <w:tc>
          <w:tcPr>
            <w:tcW w:w="0" w:type="auto"/>
            <w:tcBorders>
              <w:bottom w:val="single" w:sz="4" w:space="0" w:color="auto"/>
            </w:tcBorders>
            <w:shd w:val="clear" w:color="auto" w:fill="auto"/>
            <w:vAlign w:val="center"/>
          </w:tcPr>
          <w:p>
            <w:pPr>
              <w:jc w:val="right"/>
              <w:rPr>
                <w:sz w:val="18"/>
              </w:rPr>
            </w:pPr>
            <w:r>
              <w:rPr>
                <w:sz w:val="18"/>
              </w:rPr>
              <w:t>187</w:t>
            </w:r>
          </w:p>
        </w:tc>
        <w:tc>
          <w:tcPr>
            <w:tcW w:w="0" w:type="auto"/>
            <w:tcBorders>
              <w:bottom w:val="single" w:sz="4" w:space="0" w:color="auto"/>
            </w:tcBorders>
            <w:shd w:val="clear" w:color="auto" w:fill="auto"/>
            <w:vAlign w:val="center"/>
          </w:tcPr>
          <w:p>
            <w:pPr>
              <w:jc w:val="right"/>
              <w:rPr>
                <w:sz w:val="18"/>
              </w:rPr>
            </w:pPr>
            <w:r>
              <w:rPr>
                <w:sz w:val="18"/>
              </w:rPr>
              <w:t>7.388</w:t>
            </w:r>
          </w:p>
        </w:tc>
        <w:tc>
          <w:tcPr>
            <w:tcW w:w="0" w:type="auto"/>
            <w:tcBorders>
              <w:bottom w:val="single" w:sz="4" w:space="0" w:color="auto"/>
            </w:tcBorders>
            <w:shd w:val="clear" w:color="auto" w:fill="auto"/>
            <w:vAlign w:val="center"/>
          </w:tcPr>
          <w:p>
            <w:pPr>
              <w:jc w:val="right"/>
              <w:rPr>
                <w:sz w:val="18"/>
              </w:rPr>
            </w:pPr>
            <w:r>
              <w:rPr>
                <w:sz w:val="18"/>
              </w:rPr>
              <w:t>352</w:t>
            </w:r>
          </w:p>
        </w:tc>
        <w:tc>
          <w:tcPr>
            <w:tcW w:w="0" w:type="auto"/>
            <w:tcBorders>
              <w:bottom w:val="single" w:sz="4" w:space="0" w:color="auto"/>
            </w:tcBorders>
            <w:shd w:val="clear" w:color="auto" w:fill="auto"/>
            <w:vAlign w:val="center"/>
          </w:tcPr>
          <w:p>
            <w:pPr>
              <w:jc w:val="right"/>
              <w:rPr>
                <w:sz w:val="18"/>
              </w:rPr>
            </w:pPr>
            <w:r>
              <w:rPr>
                <w:sz w:val="18"/>
              </w:rPr>
              <w:t>4.352</w:t>
            </w:r>
          </w:p>
        </w:tc>
        <w:tc>
          <w:tcPr>
            <w:tcW w:w="0" w:type="auto"/>
            <w:tcBorders>
              <w:bottom w:val="single" w:sz="4" w:space="0" w:color="auto"/>
            </w:tcBorders>
            <w:shd w:val="clear" w:color="auto" w:fill="auto"/>
            <w:vAlign w:val="center"/>
          </w:tcPr>
          <w:p>
            <w:pPr>
              <w:jc w:val="right"/>
              <w:rPr>
                <w:sz w:val="18"/>
              </w:rPr>
            </w:pPr>
            <w:r>
              <w:rPr>
                <w:sz w:val="18"/>
              </w:rPr>
              <w:t>81</w:t>
            </w:r>
          </w:p>
        </w:tc>
        <w:tc>
          <w:tcPr>
            <w:tcW w:w="0" w:type="auto"/>
            <w:tcBorders>
              <w:bottom w:val="single" w:sz="4" w:space="0" w:color="auto"/>
            </w:tcBorders>
            <w:shd w:val="clear" w:color="auto" w:fill="auto"/>
            <w:vAlign w:val="center"/>
          </w:tcPr>
          <w:p>
            <w:pPr>
              <w:jc w:val="right"/>
              <w:rPr>
                <w:sz w:val="18"/>
              </w:rPr>
            </w:pPr>
            <w:r>
              <w:rPr>
                <w:sz w:val="18"/>
              </w:rPr>
              <w:t>2.824</w:t>
            </w:r>
          </w:p>
        </w:tc>
        <w:tc>
          <w:tcPr>
            <w:tcW w:w="0" w:type="auto"/>
            <w:tcBorders>
              <w:bottom w:val="single" w:sz="4" w:space="0" w:color="auto"/>
            </w:tcBorders>
            <w:shd w:val="clear" w:color="auto" w:fill="auto"/>
            <w:vAlign w:val="center"/>
          </w:tcPr>
          <w:p>
            <w:pPr>
              <w:jc w:val="right"/>
              <w:rPr>
                <w:sz w:val="18"/>
              </w:rPr>
            </w:pPr>
            <w:r>
              <w:rPr>
                <w:sz w:val="18"/>
              </w:rPr>
              <w:t>38,2%</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2017-01</w:t>
            </w:r>
          </w:p>
        </w:tc>
        <w:tc>
          <w:tcPr>
            <w:tcW w:w="0" w:type="auto"/>
            <w:tcBorders>
              <w:top w:val="single" w:sz="4" w:space="0" w:color="auto"/>
            </w:tcBorders>
            <w:shd w:val="clear" w:color="auto" w:fill="auto"/>
            <w:vAlign w:val="center"/>
          </w:tcPr>
          <w:p>
            <w:pPr>
              <w:jc w:val="right"/>
              <w:rPr>
                <w:sz w:val="18"/>
              </w:rPr>
            </w:pPr>
            <w:r>
              <w:rPr>
                <w:sz w:val="18"/>
              </w:rPr>
              <w:t>188</w:t>
            </w:r>
          </w:p>
        </w:tc>
        <w:tc>
          <w:tcPr>
            <w:tcW w:w="0" w:type="auto"/>
            <w:tcBorders>
              <w:top w:val="single" w:sz="4" w:space="0" w:color="auto"/>
            </w:tcBorders>
            <w:shd w:val="clear" w:color="auto" w:fill="auto"/>
            <w:vAlign w:val="center"/>
          </w:tcPr>
          <w:p>
            <w:pPr>
              <w:jc w:val="right"/>
              <w:rPr>
                <w:sz w:val="18"/>
              </w:rPr>
            </w:pPr>
            <w:r>
              <w:rPr>
                <w:sz w:val="18"/>
              </w:rPr>
              <w:t>7.576</w:t>
            </w:r>
          </w:p>
        </w:tc>
        <w:tc>
          <w:tcPr>
            <w:tcW w:w="0" w:type="auto"/>
            <w:tcBorders>
              <w:top w:val="single" w:sz="4" w:space="0" w:color="auto"/>
            </w:tcBorders>
            <w:shd w:val="clear" w:color="auto" w:fill="auto"/>
            <w:vAlign w:val="center"/>
          </w:tcPr>
          <w:p>
            <w:pPr>
              <w:jc w:val="right"/>
              <w:rPr>
                <w:sz w:val="18"/>
              </w:rPr>
            </w:pPr>
            <w:r>
              <w:rPr>
                <w:sz w:val="18"/>
              </w:rPr>
              <w:t>574</w:t>
            </w:r>
          </w:p>
        </w:tc>
        <w:tc>
          <w:tcPr>
            <w:tcW w:w="0" w:type="auto"/>
            <w:tcBorders>
              <w:top w:val="single" w:sz="4" w:space="0" w:color="auto"/>
            </w:tcBorders>
            <w:shd w:val="clear" w:color="auto" w:fill="auto"/>
            <w:vAlign w:val="center"/>
          </w:tcPr>
          <w:p>
            <w:pPr>
              <w:jc w:val="right"/>
              <w:rPr>
                <w:sz w:val="18"/>
              </w:rPr>
            </w:pPr>
            <w:r>
              <w:rPr>
                <w:sz w:val="18"/>
              </w:rPr>
              <w:t>4.926</w:t>
            </w:r>
          </w:p>
        </w:tc>
        <w:tc>
          <w:tcPr>
            <w:tcW w:w="0" w:type="auto"/>
            <w:tcBorders>
              <w:top w:val="single" w:sz="4" w:space="0" w:color="auto"/>
            </w:tcBorders>
            <w:shd w:val="clear" w:color="auto" w:fill="auto"/>
            <w:vAlign w:val="center"/>
          </w:tcPr>
          <w:p>
            <w:pPr>
              <w:jc w:val="right"/>
              <w:rPr>
                <w:sz w:val="18"/>
              </w:rPr>
            </w:pPr>
            <w:r>
              <w:rPr>
                <w:sz w:val="18"/>
              </w:rPr>
              <w:t>72</w:t>
            </w:r>
          </w:p>
        </w:tc>
        <w:tc>
          <w:tcPr>
            <w:tcW w:w="0" w:type="auto"/>
            <w:tcBorders>
              <w:top w:val="single" w:sz="4" w:space="0" w:color="auto"/>
            </w:tcBorders>
            <w:shd w:val="clear" w:color="auto" w:fill="auto"/>
            <w:vAlign w:val="center"/>
          </w:tcPr>
          <w:p>
            <w:pPr>
              <w:jc w:val="right"/>
              <w:rPr>
                <w:sz w:val="18"/>
              </w:rPr>
            </w:pPr>
            <w:r>
              <w:rPr>
                <w:sz w:val="18"/>
              </w:rPr>
              <w:t>2.896</w:t>
            </w:r>
          </w:p>
        </w:tc>
        <w:tc>
          <w:tcPr>
            <w:tcW w:w="0" w:type="auto"/>
            <w:tcBorders>
              <w:top w:val="single" w:sz="4" w:space="0" w:color="auto"/>
            </w:tcBorders>
            <w:shd w:val="clear" w:color="auto" w:fill="auto"/>
            <w:vAlign w:val="center"/>
          </w:tcPr>
          <w:p>
            <w:pPr>
              <w:jc w:val="right"/>
              <w:rPr>
                <w:sz w:val="18"/>
              </w:rPr>
            </w:pPr>
            <w:r>
              <w:rPr>
                <w:sz w:val="18"/>
              </w:rPr>
              <w:t>38,2%</w:t>
            </w:r>
          </w:p>
        </w:tc>
      </w:tr>
      <w:tr>
        <w:trPr>
          <w:trHeight w:hRule="exact" w:val="280"/>
        </w:trPr>
        <w:tc>
          <w:tcPr>
            <w:tcW w:w="0" w:type="auto"/>
            <w:shd w:val="clear" w:color="auto" w:fill="auto"/>
            <w:vAlign w:val="center"/>
          </w:tcPr>
          <w:p>
            <w:pPr>
              <w:jc w:val="left"/>
              <w:rPr>
                <w:sz w:val="18"/>
              </w:rPr>
            </w:pPr>
            <w:r>
              <w:rPr>
                <w:sz w:val="18"/>
              </w:rPr>
              <w:t>2017-02</w:t>
            </w:r>
          </w:p>
        </w:tc>
        <w:tc>
          <w:tcPr>
            <w:tcW w:w="0" w:type="auto"/>
            <w:shd w:val="clear" w:color="auto" w:fill="auto"/>
            <w:vAlign w:val="center"/>
          </w:tcPr>
          <w:p>
            <w:pPr>
              <w:jc w:val="right"/>
              <w:rPr>
                <w:sz w:val="18"/>
              </w:rPr>
            </w:pPr>
            <w:r>
              <w:rPr>
                <w:sz w:val="18"/>
              </w:rPr>
              <w:t>77</w:t>
            </w:r>
          </w:p>
        </w:tc>
        <w:tc>
          <w:tcPr>
            <w:tcW w:w="0" w:type="auto"/>
            <w:shd w:val="clear" w:color="auto" w:fill="auto"/>
            <w:vAlign w:val="center"/>
          </w:tcPr>
          <w:p>
            <w:pPr>
              <w:jc w:val="right"/>
              <w:rPr>
                <w:sz w:val="18"/>
              </w:rPr>
            </w:pPr>
            <w:r>
              <w:rPr>
                <w:sz w:val="18"/>
              </w:rPr>
              <w:t>7.653</w:t>
            </w:r>
          </w:p>
        </w:tc>
        <w:tc>
          <w:tcPr>
            <w:tcW w:w="0" w:type="auto"/>
            <w:shd w:val="clear" w:color="auto" w:fill="auto"/>
            <w:vAlign w:val="center"/>
          </w:tcPr>
          <w:p>
            <w:pPr>
              <w:jc w:val="right"/>
              <w:rPr>
                <w:sz w:val="18"/>
              </w:rPr>
            </w:pPr>
            <w:r>
              <w:rPr>
                <w:sz w:val="18"/>
              </w:rPr>
              <w:t>472</w:t>
            </w:r>
          </w:p>
        </w:tc>
        <w:tc>
          <w:tcPr>
            <w:tcW w:w="0" w:type="auto"/>
            <w:shd w:val="clear" w:color="auto" w:fill="auto"/>
            <w:vAlign w:val="center"/>
          </w:tcPr>
          <w:p>
            <w:pPr>
              <w:jc w:val="right"/>
              <w:rPr>
                <w:sz w:val="18"/>
              </w:rPr>
            </w:pPr>
            <w:r>
              <w:rPr>
                <w:sz w:val="18"/>
              </w:rPr>
              <w:t>5.398</w:t>
            </w:r>
          </w:p>
        </w:tc>
        <w:tc>
          <w:tcPr>
            <w:tcW w:w="0" w:type="auto"/>
            <w:shd w:val="clear" w:color="auto" w:fill="auto"/>
            <w:vAlign w:val="center"/>
          </w:tcPr>
          <w:p>
            <w:pPr>
              <w:jc w:val="right"/>
              <w:rPr>
                <w:sz w:val="18"/>
              </w:rPr>
            </w:pPr>
            <w:r>
              <w:rPr>
                <w:sz w:val="18"/>
              </w:rPr>
              <w:t>44</w:t>
            </w:r>
          </w:p>
        </w:tc>
        <w:tc>
          <w:tcPr>
            <w:tcW w:w="0" w:type="auto"/>
            <w:shd w:val="clear" w:color="auto" w:fill="auto"/>
            <w:vAlign w:val="center"/>
          </w:tcPr>
          <w:p>
            <w:pPr>
              <w:jc w:val="right"/>
              <w:rPr>
                <w:sz w:val="18"/>
              </w:rPr>
            </w:pPr>
            <w:r>
              <w:rPr>
                <w:sz w:val="18"/>
              </w:rPr>
              <w:t>2.940</w:t>
            </w:r>
          </w:p>
        </w:tc>
        <w:tc>
          <w:tcPr>
            <w:tcW w:w="0" w:type="auto"/>
            <w:shd w:val="clear" w:color="auto" w:fill="auto"/>
            <w:vAlign w:val="center"/>
          </w:tcPr>
          <w:p>
            <w:pPr>
              <w:jc w:val="right"/>
              <w:rPr>
                <w:sz w:val="18"/>
              </w:rPr>
            </w:pPr>
            <w:r>
              <w:rPr>
                <w:sz w:val="18"/>
              </w:rPr>
              <w:t>38,4%</w:t>
            </w:r>
          </w:p>
        </w:tc>
      </w:tr>
      <w:bookmarkEnd w:id="9"/>
    </w:tbl>
    <w:p>
      <w:pPr>
        <w:rPr>
          <w:i/>
        </w:rPr>
      </w:pPr>
    </w:p>
    <w:p>
      <w:pPr>
        <w:pStyle w:val="Lgende"/>
        <w:keepNext/>
      </w:pPr>
      <w:r>
        <w:lastRenderedPageBreak/>
        <w:t xml:space="preserve">Figure </w:t>
      </w:r>
      <w:fldSimple w:instr=" SEQ Figure \* ARABIC ">
        <w:r>
          <w:rPr>
            <w:noProof/>
          </w:rPr>
          <w:t>1</w:t>
        </w:r>
      </w:fldSimple>
      <w:r>
        <w:t>. OLS usage per month</w:t>
      </w:r>
      <w:bookmarkStart w:id="10" w:name="InlineShape2"/>
      <w:bookmarkEnd w:id="10"/>
    </w:p>
    <w:p>
      <w:pPr>
        <w:rPr>
          <w:i/>
        </w:rPr>
      </w:pPr>
      <w:r>
        <w:rPr>
          <w:i/>
          <w:noProof/>
          <w:lang w:val="fr-BE" w:eastAsia="fr-BE"/>
        </w:rPr>
        <w:drawing>
          <wp:inline distT="0" distB="0" distL="0" distR="0">
            <wp:extent cx="45720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971800"/>
                    </a:xfrm>
                    <a:prstGeom prst="rect">
                      <a:avLst/>
                    </a:prstGeom>
                    <a:noFill/>
                    <a:ln>
                      <a:noFill/>
                    </a:ln>
                  </pic:spPr>
                </pic:pic>
              </a:graphicData>
            </a:graphic>
          </wp:inline>
        </w:drawing>
      </w:r>
    </w:p>
    <w:p>
      <w:pPr>
        <w:rPr>
          <w:i/>
        </w:rPr>
      </w:pPr>
      <w:r>
        <w:rPr>
          <w:i/>
        </w:rPr>
        <w:t>NB: numbers are indicated only for the peaks of the OLS usage curves</w:t>
      </w:r>
    </w:p>
    <w:p>
      <w:pPr>
        <w:rPr>
          <w:i/>
        </w:rPr>
        <w:sectPr>
          <w:pgSz w:w="11907" w:h="16839" w:code="9"/>
          <w:pgMar w:top="1440" w:right="1440" w:bottom="1440" w:left="1440" w:header="709" w:footer="709" w:gutter="0"/>
          <w:cols w:space="708"/>
          <w:docGrid w:linePitch="360"/>
        </w:sectPr>
      </w:pPr>
    </w:p>
    <w:p>
      <w:pPr>
        <w:pStyle w:val="Titre2"/>
      </w:pPr>
      <w:bookmarkStart w:id="11" w:name="subsec____Total_OLS_Usage_per_Language"/>
      <w:bookmarkStart w:id="12" w:name="_Toc476736930"/>
      <w:bookmarkEnd w:id="11"/>
      <w:r>
        <w:lastRenderedPageBreak/>
        <w:t>3. Total OLS Usage per Language</w:t>
      </w:r>
      <w:bookmarkEnd w:id="12"/>
    </w:p>
    <w:p>
      <w:pPr>
        <w:pStyle w:val="Corpsdetexte"/>
      </w:pPr>
      <w:r>
        <w:t>This table gives on overview of how many language assessments and courses have been started per language, as well as an indication of the course intake per language.</w:t>
      </w:r>
    </w:p>
    <w:p>
      <w:pPr>
        <w:pStyle w:val="Lgende"/>
        <w:keepNext/>
      </w:pPr>
      <w:r>
        <w:t xml:space="preserve">Table </w:t>
      </w:r>
      <w:fldSimple w:instr=" SEQ Table \* ARABIC ">
        <w:r>
          <w:rPr>
            <w:noProof/>
          </w:rPr>
          <w:t>3</w:t>
        </w:r>
      </w:fldSimple>
      <w:r>
        <w:t>. Total OLS usage per language. OT stands for the other six languages started in April 2016.</w:t>
      </w:r>
    </w:p>
    <w:tbl>
      <w:tblPr>
        <w:tblW w:w="0" w:type="auto"/>
        <w:tblCellMar>
          <w:left w:w="100" w:type="dxa"/>
          <w:right w:w="100" w:type="dxa"/>
        </w:tblCellMar>
        <w:tblLook w:val="0000" w:firstRow="0" w:lastRow="0" w:firstColumn="0" w:lastColumn="0" w:noHBand="0" w:noVBand="0"/>
      </w:tblPr>
      <w:tblGrid>
        <w:gridCol w:w="544"/>
        <w:gridCol w:w="1196"/>
        <w:gridCol w:w="709"/>
        <w:gridCol w:w="1203"/>
      </w:tblGrid>
      <w:tr>
        <w:tc>
          <w:tcPr>
            <w:tcW w:w="0" w:type="auto"/>
            <w:tcBorders>
              <w:bottom w:val="single" w:sz="4" w:space="0" w:color="auto"/>
              <w:right w:val="single" w:sz="4" w:space="0" w:color="auto"/>
            </w:tcBorders>
            <w:shd w:val="clear" w:color="auto" w:fill="auto"/>
            <w:vAlign w:val="center"/>
          </w:tcPr>
          <w:p>
            <w:pPr>
              <w:jc w:val="left"/>
              <w:rPr>
                <w:sz w:val="18"/>
              </w:rPr>
            </w:pPr>
            <w:bookmarkStart w:id="13" w:name="Table10"/>
          </w:p>
        </w:tc>
        <w:tc>
          <w:tcPr>
            <w:tcW w:w="0" w:type="auto"/>
            <w:tcBorders>
              <w:left w:val="single" w:sz="4" w:space="0" w:color="auto"/>
              <w:bottom w:val="single" w:sz="4" w:space="0" w:color="auto"/>
            </w:tcBorders>
            <w:shd w:val="clear" w:color="auto" w:fill="auto"/>
            <w:vAlign w:val="center"/>
          </w:tcPr>
          <w:p>
            <w:pPr>
              <w:jc w:val="right"/>
              <w:rPr>
                <w:sz w:val="18"/>
              </w:rPr>
            </w:pPr>
            <w:r>
              <w:rPr>
                <w:sz w:val="18"/>
              </w:rPr>
              <w:t>Assessment 1</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Course</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Course intake</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DE</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531</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222</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42 %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EN</w:t>
            </w:r>
          </w:p>
        </w:tc>
        <w:tc>
          <w:tcPr>
            <w:tcW w:w="0" w:type="auto"/>
            <w:tcBorders>
              <w:left w:val="single" w:sz="4" w:space="0" w:color="auto"/>
            </w:tcBorders>
            <w:shd w:val="clear" w:color="auto" w:fill="auto"/>
            <w:vAlign w:val="center"/>
          </w:tcPr>
          <w:p>
            <w:pPr>
              <w:jc w:val="right"/>
              <w:rPr>
                <w:sz w:val="18"/>
              </w:rPr>
            </w:pPr>
            <w:r>
              <w:rPr>
                <w:sz w:val="18"/>
              </w:rPr>
              <w:t>4.627</w:t>
            </w:r>
          </w:p>
        </w:tc>
        <w:tc>
          <w:tcPr>
            <w:tcW w:w="0" w:type="auto"/>
            <w:tcBorders>
              <w:right w:val="single" w:sz="4" w:space="0" w:color="auto"/>
            </w:tcBorders>
            <w:shd w:val="clear" w:color="auto" w:fill="auto"/>
            <w:vAlign w:val="center"/>
          </w:tcPr>
          <w:p>
            <w:pPr>
              <w:jc w:val="right"/>
              <w:rPr>
                <w:sz w:val="18"/>
              </w:rPr>
            </w:pPr>
            <w:r>
              <w:rPr>
                <w:sz w:val="18"/>
              </w:rPr>
              <w:t>1.415</w:t>
            </w:r>
          </w:p>
        </w:tc>
        <w:tc>
          <w:tcPr>
            <w:tcW w:w="0" w:type="auto"/>
            <w:tcBorders>
              <w:left w:val="single" w:sz="4" w:space="0" w:color="auto"/>
            </w:tcBorders>
            <w:shd w:val="clear" w:color="auto" w:fill="auto"/>
            <w:vAlign w:val="center"/>
          </w:tcPr>
          <w:p>
            <w:pPr>
              <w:jc w:val="right"/>
              <w:rPr>
                <w:sz w:val="18"/>
              </w:rPr>
            </w:pPr>
            <w:r>
              <w:rPr>
                <w:sz w:val="18"/>
              </w:rPr>
              <w:t>31 %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ES</w:t>
            </w:r>
          </w:p>
        </w:tc>
        <w:tc>
          <w:tcPr>
            <w:tcW w:w="0" w:type="auto"/>
            <w:tcBorders>
              <w:left w:val="single" w:sz="4" w:space="0" w:color="auto"/>
            </w:tcBorders>
            <w:shd w:val="clear" w:color="auto" w:fill="auto"/>
            <w:vAlign w:val="center"/>
          </w:tcPr>
          <w:p>
            <w:pPr>
              <w:jc w:val="right"/>
              <w:rPr>
                <w:sz w:val="18"/>
              </w:rPr>
            </w:pPr>
            <w:r>
              <w:rPr>
                <w:sz w:val="18"/>
              </w:rPr>
              <w:t>1.721</w:t>
            </w:r>
          </w:p>
        </w:tc>
        <w:tc>
          <w:tcPr>
            <w:tcW w:w="0" w:type="auto"/>
            <w:tcBorders>
              <w:right w:val="single" w:sz="4" w:space="0" w:color="auto"/>
            </w:tcBorders>
            <w:shd w:val="clear" w:color="auto" w:fill="auto"/>
            <w:vAlign w:val="center"/>
          </w:tcPr>
          <w:p>
            <w:pPr>
              <w:jc w:val="right"/>
              <w:rPr>
                <w:sz w:val="18"/>
              </w:rPr>
            </w:pPr>
            <w:r>
              <w:rPr>
                <w:sz w:val="18"/>
              </w:rPr>
              <w:t>864</w:t>
            </w:r>
          </w:p>
        </w:tc>
        <w:tc>
          <w:tcPr>
            <w:tcW w:w="0" w:type="auto"/>
            <w:tcBorders>
              <w:left w:val="single" w:sz="4" w:space="0" w:color="auto"/>
            </w:tcBorders>
            <w:shd w:val="clear" w:color="auto" w:fill="auto"/>
            <w:vAlign w:val="center"/>
          </w:tcPr>
          <w:p>
            <w:pPr>
              <w:jc w:val="right"/>
              <w:rPr>
                <w:sz w:val="18"/>
              </w:rPr>
            </w:pPr>
            <w:r>
              <w:rPr>
                <w:sz w:val="18"/>
              </w:rPr>
              <w:t>50 %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FR</w:t>
            </w:r>
          </w:p>
        </w:tc>
        <w:tc>
          <w:tcPr>
            <w:tcW w:w="0" w:type="auto"/>
            <w:tcBorders>
              <w:left w:val="single" w:sz="4" w:space="0" w:color="auto"/>
            </w:tcBorders>
            <w:shd w:val="clear" w:color="auto" w:fill="auto"/>
            <w:vAlign w:val="center"/>
          </w:tcPr>
          <w:p>
            <w:pPr>
              <w:jc w:val="right"/>
              <w:rPr>
                <w:sz w:val="18"/>
              </w:rPr>
            </w:pPr>
            <w:r>
              <w:rPr>
                <w:sz w:val="18"/>
              </w:rPr>
              <w:t>17</w:t>
            </w:r>
          </w:p>
        </w:tc>
        <w:tc>
          <w:tcPr>
            <w:tcW w:w="0" w:type="auto"/>
            <w:tcBorders>
              <w:right w:val="single" w:sz="4" w:space="0" w:color="auto"/>
            </w:tcBorders>
            <w:shd w:val="clear" w:color="auto" w:fill="auto"/>
            <w:vAlign w:val="center"/>
          </w:tcPr>
          <w:p>
            <w:pPr>
              <w:jc w:val="right"/>
              <w:rPr>
                <w:sz w:val="18"/>
              </w:rPr>
            </w:pPr>
            <w:r>
              <w:rPr>
                <w:sz w:val="18"/>
              </w:rPr>
              <w:t>6</w:t>
            </w:r>
          </w:p>
        </w:tc>
        <w:tc>
          <w:tcPr>
            <w:tcW w:w="0" w:type="auto"/>
            <w:tcBorders>
              <w:left w:val="single" w:sz="4" w:space="0" w:color="auto"/>
            </w:tcBorders>
            <w:shd w:val="clear" w:color="auto" w:fill="auto"/>
            <w:vAlign w:val="center"/>
          </w:tcPr>
          <w:p>
            <w:pPr>
              <w:jc w:val="right"/>
              <w:rPr>
                <w:sz w:val="18"/>
              </w:rPr>
            </w:pPr>
            <w:r>
              <w:rPr>
                <w:sz w:val="18"/>
              </w:rPr>
              <w:t>35 %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IT</w:t>
            </w:r>
          </w:p>
        </w:tc>
        <w:tc>
          <w:tcPr>
            <w:tcW w:w="0" w:type="auto"/>
            <w:tcBorders>
              <w:left w:val="single" w:sz="4" w:space="0" w:color="auto"/>
            </w:tcBorders>
            <w:shd w:val="clear" w:color="auto" w:fill="auto"/>
            <w:vAlign w:val="center"/>
          </w:tcPr>
          <w:p>
            <w:pPr>
              <w:jc w:val="right"/>
              <w:rPr>
                <w:sz w:val="18"/>
              </w:rPr>
            </w:pPr>
            <w:r>
              <w:rPr>
                <w:sz w:val="18"/>
              </w:rPr>
              <w:t>520</w:t>
            </w:r>
          </w:p>
        </w:tc>
        <w:tc>
          <w:tcPr>
            <w:tcW w:w="0" w:type="auto"/>
            <w:tcBorders>
              <w:right w:val="single" w:sz="4" w:space="0" w:color="auto"/>
            </w:tcBorders>
            <w:shd w:val="clear" w:color="auto" w:fill="auto"/>
            <w:vAlign w:val="center"/>
          </w:tcPr>
          <w:p>
            <w:pPr>
              <w:jc w:val="right"/>
              <w:rPr>
                <w:sz w:val="18"/>
              </w:rPr>
            </w:pPr>
            <w:r>
              <w:rPr>
                <w:sz w:val="18"/>
              </w:rPr>
              <w:t>311</w:t>
            </w:r>
          </w:p>
        </w:tc>
        <w:tc>
          <w:tcPr>
            <w:tcW w:w="0" w:type="auto"/>
            <w:tcBorders>
              <w:left w:val="single" w:sz="4" w:space="0" w:color="auto"/>
            </w:tcBorders>
            <w:shd w:val="clear" w:color="auto" w:fill="auto"/>
            <w:vAlign w:val="center"/>
          </w:tcPr>
          <w:p>
            <w:pPr>
              <w:jc w:val="right"/>
              <w:rPr>
                <w:sz w:val="18"/>
              </w:rPr>
            </w:pPr>
            <w:r>
              <w:rPr>
                <w:sz w:val="18"/>
              </w:rPr>
              <w:t>60 %</w:t>
            </w:r>
          </w:p>
        </w:tc>
      </w:tr>
      <w:tr>
        <w:trPr>
          <w:trHeight w:hRule="exact" w:val="280"/>
        </w:trPr>
        <w:tc>
          <w:tcPr>
            <w:tcW w:w="0" w:type="auto"/>
            <w:tcBorders>
              <w:bottom w:val="single" w:sz="4" w:space="0" w:color="auto"/>
              <w:right w:val="single" w:sz="4" w:space="0" w:color="auto"/>
            </w:tcBorders>
            <w:shd w:val="clear" w:color="auto" w:fill="auto"/>
            <w:vAlign w:val="center"/>
          </w:tcPr>
          <w:p>
            <w:pPr>
              <w:jc w:val="left"/>
              <w:rPr>
                <w:sz w:val="18"/>
              </w:rPr>
            </w:pPr>
            <w:r>
              <w:rPr>
                <w:sz w:val="18"/>
              </w:rPr>
              <w:t>NL</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193</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70</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36 %</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CS</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1</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3</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300 %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DA</w:t>
            </w:r>
          </w:p>
        </w:tc>
        <w:tc>
          <w:tcPr>
            <w:tcW w:w="0" w:type="auto"/>
            <w:tcBorders>
              <w:left w:val="single" w:sz="4" w:space="0" w:color="auto"/>
            </w:tcBorders>
            <w:shd w:val="clear" w:color="auto" w:fill="auto"/>
            <w:vAlign w:val="center"/>
          </w:tcPr>
          <w:p>
            <w:pPr>
              <w:jc w:val="right"/>
              <w:rPr>
                <w:sz w:val="18"/>
              </w:rPr>
            </w:pPr>
            <w:r>
              <w:rPr>
                <w:sz w:val="18"/>
              </w:rPr>
              <w:t>4</w:t>
            </w:r>
          </w:p>
        </w:tc>
        <w:tc>
          <w:tcPr>
            <w:tcW w:w="0" w:type="auto"/>
            <w:tcBorders>
              <w:right w:val="single" w:sz="4" w:space="0" w:color="auto"/>
            </w:tcBorders>
            <w:shd w:val="clear" w:color="auto" w:fill="auto"/>
            <w:vAlign w:val="center"/>
          </w:tcPr>
          <w:p>
            <w:pPr>
              <w:jc w:val="right"/>
              <w:rPr>
                <w:sz w:val="18"/>
              </w:rPr>
            </w:pPr>
            <w:r>
              <w:rPr>
                <w:sz w:val="18"/>
              </w:rPr>
              <w:t>3</w:t>
            </w:r>
          </w:p>
        </w:tc>
        <w:tc>
          <w:tcPr>
            <w:tcW w:w="0" w:type="auto"/>
            <w:tcBorders>
              <w:left w:val="single" w:sz="4" w:space="0" w:color="auto"/>
            </w:tcBorders>
            <w:shd w:val="clear" w:color="auto" w:fill="auto"/>
            <w:vAlign w:val="center"/>
          </w:tcPr>
          <w:p>
            <w:pPr>
              <w:jc w:val="right"/>
              <w:rPr>
                <w:sz w:val="18"/>
              </w:rPr>
            </w:pPr>
            <w:r>
              <w:rPr>
                <w:sz w:val="18"/>
              </w:rPr>
              <w:t>75 %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EL</w:t>
            </w:r>
          </w:p>
        </w:tc>
        <w:tc>
          <w:tcPr>
            <w:tcW w:w="0" w:type="auto"/>
            <w:tcBorders>
              <w:left w:val="single" w:sz="4" w:space="0" w:color="auto"/>
            </w:tcBorders>
            <w:shd w:val="clear" w:color="auto" w:fill="auto"/>
            <w:vAlign w:val="center"/>
          </w:tcPr>
          <w:p>
            <w:pPr>
              <w:jc w:val="right"/>
              <w:rPr>
                <w:sz w:val="18"/>
              </w:rPr>
            </w:pPr>
            <w:r>
              <w:rPr>
                <w:sz w:val="18"/>
              </w:rPr>
              <w:t>3</w:t>
            </w:r>
          </w:p>
        </w:tc>
        <w:tc>
          <w:tcPr>
            <w:tcW w:w="0" w:type="auto"/>
            <w:tcBorders>
              <w:right w:val="single" w:sz="4" w:space="0" w:color="auto"/>
            </w:tcBorders>
            <w:shd w:val="clear" w:color="auto" w:fill="auto"/>
            <w:vAlign w:val="center"/>
          </w:tcPr>
          <w:p>
            <w:pPr>
              <w:jc w:val="right"/>
              <w:rPr>
                <w:sz w:val="18"/>
              </w:rPr>
            </w:pPr>
            <w:r>
              <w:rPr>
                <w:sz w:val="18"/>
              </w:rPr>
              <w:t>1</w:t>
            </w:r>
          </w:p>
        </w:tc>
        <w:tc>
          <w:tcPr>
            <w:tcW w:w="0" w:type="auto"/>
            <w:tcBorders>
              <w:left w:val="single" w:sz="4" w:space="0" w:color="auto"/>
            </w:tcBorders>
            <w:shd w:val="clear" w:color="auto" w:fill="auto"/>
            <w:vAlign w:val="center"/>
          </w:tcPr>
          <w:p>
            <w:pPr>
              <w:jc w:val="right"/>
              <w:rPr>
                <w:sz w:val="18"/>
              </w:rPr>
            </w:pPr>
            <w:r>
              <w:rPr>
                <w:sz w:val="18"/>
              </w:rPr>
              <w:t>33 %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PL</w:t>
            </w:r>
          </w:p>
        </w:tc>
        <w:tc>
          <w:tcPr>
            <w:tcW w:w="0" w:type="auto"/>
            <w:tcBorders>
              <w:left w:val="single" w:sz="4" w:space="0" w:color="auto"/>
            </w:tcBorders>
            <w:shd w:val="clear" w:color="auto" w:fill="auto"/>
            <w:vAlign w:val="center"/>
          </w:tcPr>
          <w:p>
            <w:pPr>
              <w:jc w:val="right"/>
              <w:rPr>
                <w:sz w:val="18"/>
              </w:rPr>
            </w:pPr>
            <w:r>
              <w:rPr>
                <w:sz w:val="18"/>
              </w:rPr>
              <w:t>1</w:t>
            </w:r>
          </w:p>
        </w:tc>
        <w:tc>
          <w:tcPr>
            <w:tcW w:w="0" w:type="auto"/>
            <w:tcBorders>
              <w:right w:val="single" w:sz="4" w:space="0" w:color="auto"/>
            </w:tcBorders>
            <w:shd w:val="clear" w:color="auto" w:fill="auto"/>
            <w:vAlign w:val="center"/>
          </w:tcPr>
          <w:p>
            <w:pPr>
              <w:jc w:val="right"/>
              <w:rPr>
                <w:sz w:val="18"/>
              </w:rPr>
            </w:pPr>
            <w:r>
              <w:rPr>
                <w:sz w:val="18"/>
              </w:rPr>
              <w:t>2</w:t>
            </w:r>
          </w:p>
        </w:tc>
        <w:tc>
          <w:tcPr>
            <w:tcW w:w="0" w:type="auto"/>
            <w:tcBorders>
              <w:left w:val="single" w:sz="4" w:space="0" w:color="auto"/>
            </w:tcBorders>
            <w:shd w:val="clear" w:color="auto" w:fill="auto"/>
            <w:vAlign w:val="center"/>
          </w:tcPr>
          <w:p>
            <w:pPr>
              <w:jc w:val="right"/>
              <w:rPr>
                <w:sz w:val="18"/>
              </w:rPr>
            </w:pPr>
            <w:r>
              <w:rPr>
                <w:sz w:val="18"/>
              </w:rPr>
              <w:t>200 %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PT</w:t>
            </w:r>
          </w:p>
        </w:tc>
        <w:tc>
          <w:tcPr>
            <w:tcW w:w="0" w:type="auto"/>
            <w:tcBorders>
              <w:left w:val="single" w:sz="4" w:space="0" w:color="auto"/>
            </w:tcBorders>
            <w:shd w:val="clear" w:color="auto" w:fill="auto"/>
            <w:vAlign w:val="center"/>
          </w:tcPr>
          <w:p>
            <w:pPr>
              <w:jc w:val="right"/>
              <w:rPr>
                <w:sz w:val="18"/>
              </w:rPr>
            </w:pPr>
            <w:r>
              <w:rPr>
                <w:sz w:val="18"/>
              </w:rPr>
              <w:t>34</w:t>
            </w:r>
          </w:p>
        </w:tc>
        <w:tc>
          <w:tcPr>
            <w:tcW w:w="0" w:type="auto"/>
            <w:tcBorders>
              <w:right w:val="single" w:sz="4" w:space="0" w:color="auto"/>
            </w:tcBorders>
            <w:shd w:val="clear" w:color="auto" w:fill="auto"/>
            <w:vAlign w:val="center"/>
          </w:tcPr>
          <w:p>
            <w:pPr>
              <w:jc w:val="right"/>
              <w:rPr>
                <w:sz w:val="18"/>
              </w:rPr>
            </w:pPr>
            <w:r>
              <w:rPr>
                <w:sz w:val="18"/>
              </w:rPr>
              <w:t>35</w:t>
            </w:r>
          </w:p>
        </w:tc>
        <w:tc>
          <w:tcPr>
            <w:tcW w:w="0" w:type="auto"/>
            <w:tcBorders>
              <w:left w:val="single" w:sz="4" w:space="0" w:color="auto"/>
            </w:tcBorders>
            <w:shd w:val="clear" w:color="auto" w:fill="auto"/>
            <w:vAlign w:val="center"/>
          </w:tcPr>
          <w:p>
            <w:pPr>
              <w:jc w:val="right"/>
              <w:rPr>
                <w:sz w:val="18"/>
              </w:rPr>
            </w:pPr>
            <w:r>
              <w:rPr>
                <w:sz w:val="18"/>
              </w:rPr>
              <w:t>103 %</w:t>
            </w:r>
          </w:p>
        </w:tc>
      </w:tr>
      <w:tr>
        <w:trPr>
          <w:trHeight w:hRule="exact" w:val="280"/>
        </w:trPr>
        <w:tc>
          <w:tcPr>
            <w:tcW w:w="0" w:type="auto"/>
            <w:tcBorders>
              <w:bottom w:val="single" w:sz="4" w:space="0" w:color="auto"/>
              <w:right w:val="single" w:sz="4" w:space="0" w:color="auto"/>
            </w:tcBorders>
            <w:shd w:val="clear" w:color="auto" w:fill="auto"/>
            <w:vAlign w:val="center"/>
          </w:tcPr>
          <w:p>
            <w:pPr>
              <w:jc w:val="left"/>
              <w:rPr>
                <w:sz w:val="18"/>
              </w:rPr>
            </w:pPr>
            <w:r>
              <w:rPr>
                <w:sz w:val="18"/>
              </w:rPr>
              <w:t>SV</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1</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8</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800 %</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total</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7.653</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2.940</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38 %</w:t>
            </w:r>
          </w:p>
        </w:tc>
      </w:tr>
      <w:bookmarkEnd w:id="13"/>
    </w:tbl>
    <w:p/>
    <w:p>
      <w:pPr>
        <w:pStyle w:val="Corpsdetexte"/>
      </w:pPr>
      <w:r>
        <w:t xml:space="preserve">This figures shows the language distribution for the language assessment 1 and for the language courses. If present, the label OT summarizes the share of the 6 languages introduced with the Call 2016 (Czech, Danish, Greek, Polish, Portuguese, Swedish). </w:t>
      </w:r>
    </w:p>
    <w:p>
      <w:pPr>
        <w:pStyle w:val="Lgende"/>
        <w:keepNext/>
      </w:pPr>
      <w:r>
        <w:t xml:space="preserve">Figure </w:t>
      </w:r>
      <w:fldSimple w:instr=" SEQ Figure \* ARABIC ">
        <w:r>
          <w:rPr>
            <w:noProof/>
          </w:rPr>
          <w:t>2</w:t>
        </w:r>
      </w:fldSimple>
      <w:r>
        <w:t>. OLS usage for assessment 1 by language (left) and OLS usage for courses per language (right). The category OT stands for the other six languages started in April 2016.</w:t>
      </w:r>
      <w:bookmarkStart w:id="14" w:name="InlineShape3"/>
      <w:bookmarkEnd w:id="14"/>
    </w:p>
    <w:p>
      <w:pPr>
        <w:pStyle w:val="Corpsdetexte"/>
      </w:pPr>
      <w:r>
        <w:rPr>
          <w:noProof/>
          <w:lang w:val="fr-BE" w:eastAsia="fr-BE"/>
        </w:rPr>
        <w:drawing>
          <wp:inline distT="0" distB="0" distL="0" distR="0">
            <wp:extent cx="5732145" cy="28660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2866073"/>
                    </a:xfrm>
                    <a:prstGeom prst="rect">
                      <a:avLst/>
                    </a:prstGeom>
                    <a:noFill/>
                    <a:ln>
                      <a:noFill/>
                    </a:ln>
                  </pic:spPr>
                </pic:pic>
              </a:graphicData>
            </a:graphic>
          </wp:inline>
        </w:drawing>
      </w:r>
      <w:r>
        <w:t>The following table gives the detail of OLS language use by destination country (assessment 1 only).</w:t>
      </w:r>
    </w:p>
    <w:p>
      <w:pPr>
        <w:pStyle w:val="Corpsdetexte"/>
      </w:pPr>
    </w:p>
    <w:p>
      <w:pPr>
        <w:pStyle w:val="Corpsdetexte"/>
      </w:pPr>
    </w:p>
    <w:p>
      <w:pPr>
        <w:jc w:val="left"/>
      </w:pPr>
      <w:r>
        <w:br w:type="page"/>
      </w:r>
    </w:p>
    <w:p>
      <w:pPr>
        <w:pStyle w:val="Lgende"/>
        <w:keepNext/>
      </w:pPr>
      <w:r>
        <w:lastRenderedPageBreak/>
        <w:t xml:space="preserve">Table </w:t>
      </w:r>
      <w:fldSimple w:instr=" SEQ Table \* ARABIC ">
        <w:r>
          <w:rPr>
            <w:noProof/>
          </w:rPr>
          <w:t>4</w:t>
        </w:r>
      </w:fldSimple>
      <w:r>
        <w:t>. OLS usage per language by destination country (language assessment 1). Only values of at least 1% are shown.</w:t>
      </w:r>
    </w:p>
    <w:tbl>
      <w:tblPr>
        <w:tblW w:w="0" w:type="auto"/>
        <w:tblCellMar>
          <w:left w:w="100" w:type="dxa"/>
          <w:right w:w="100" w:type="dxa"/>
        </w:tblCellMar>
        <w:tblLook w:val="0000" w:firstRow="0" w:lastRow="0" w:firstColumn="0" w:lastColumn="0" w:noHBand="0" w:noVBand="0"/>
      </w:tblPr>
      <w:tblGrid>
        <w:gridCol w:w="603"/>
        <w:gridCol w:w="611"/>
        <w:gridCol w:w="552"/>
        <w:gridCol w:w="603"/>
        <w:gridCol w:w="552"/>
        <w:gridCol w:w="502"/>
        <w:gridCol w:w="552"/>
        <w:gridCol w:w="552"/>
        <w:gridCol w:w="502"/>
        <w:gridCol w:w="502"/>
        <w:gridCol w:w="502"/>
        <w:gridCol w:w="502"/>
        <w:gridCol w:w="552"/>
        <w:gridCol w:w="385"/>
      </w:tblGrid>
      <w:tr>
        <w:tc>
          <w:tcPr>
            <w:tcW w:w="0" w:type="auto"/>
            <w:tcBorders>
              <w:bottom w:val="single" w:sz="4" w:space="0" w:color="auto"/>
              <w:right w:val="single" w:sz="4" w:space="0" w:color="auto"/>
            </w:tcBorders>
            <w:shd w:val="clear" w:color="auto" w:fill="auto"/>
            <w:vAlign w:val="center"/>
          </w:tcPr>
          <w:p>
            <w:pPr>
              <w:jc w:val="left"/>
              <w:rPr>
                <w:sz w:val="18"/>
              </w:rPr>
            </w:pPr>
            <w:bookmarkStart w:id="15" w:name="Table12"/>
          </w:p>
        </w:tc>
        <w:tc>
          <w:tcPr>
            <w:tcW w:w="0" w:type="auto"/>
            <w:tcBorders>
              <w:left w:val="single" w:sz="4" w:space="0" w:color="auto"/>
              <w:bottom w:val="single" w:sz="4" w:space="0" w:color="auto"/>
              <w:right w:val="single" w:sz="4" w:space="0" w:color="auto"/>
            </w:tcBorders>
            <w:shd w:val="clear" w:color="auto" w:fill="auto"/>
            <w:vAlign w:val="center"/>
          </w:tcPr>
          <w:p>
            <w:pPr>
              <w:jc w:val="right"/>
              <w:rPr>
                <w:sz w:val="18"/>
              </w:rPr>
            </w:pPr>
            <w:r>
              <w:rPr>
                <w:sz w:val="18"/>
              </w:rPr>
              <w:t>LA</w:t>
            </w:r>
            <w:r>
              <w:rPr>
                <w:sz w:val="18"/>
              </w:rPr>
              <w:br/>
              <w:t>Total</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br/>
              <w:t>DE</w:t>
            </w:r>
          </w:p>
        </w:tc>
        <w:tc>
          <w:tcPr>
            <w:tcW w:w="0" w:type="auto"/>
            <w:tcBorders>
              <w:bottom w:val="single" w:sz="4" w:space="0" w:color="auto"/>
            </w:tcBorders>
            <w:shd w:val="clear" w:color="auto" w:fill="auto"/>
            <w:vAlign w:val="center"/>
          </w:tcPr>
          <w:p>
            <w:pPr>
              <w:jc w:val="right"/>
              <w:rPr>
                <w:sz w:val="18"/>
              </w:rPr>
            </w:pPr>
            <w:r>
              <w:rPr>
                <w:sz w:val="18"/>
              </w:rPr>
              <w:br/>
              <w:t>EN</w:t>
            </w:r>
          </w:p>
        </w:tc>
        <w:tc>
          <w:tcPr>
            <w:tcW w:w="0" w:type="auto"/>
            <w:tcBorders>
              <w:bottom w:val="single" w:sz="4" w:space="0" w:color="auto"/>
            </w:tcBorders>
            <w:shd w:val="clear" w:color="auto" w:fill="auto"/>
            <w:vAlign w:val="center"/>
          </w:tcPr>
          <w:p>
            <w:pPr>
              <w:jc w:val="right"/>
              <w:rPr>
                <w:sz w:val="18"/>
              </w:rPr>
            </w:pPr>
            <w:r>
              <w:rPr>
                <w:sz w:val="18"/>
              </w:rPr>
              <w:br/>
              <w:t>ES</w:t>
            </w:r>
          </w:p>
        </w:tc>
        <w:tc>
          <w:tcPr>
            <w:tcW w:w="0" w:type="auto"/>
            <w:tcBorders>
              <w:bottom w:val="single" w:sz="4" w:space="0" w:color="auto"/>
            </w:tcBorders>
            <w:shd w:val="clear" w:color="auto" w:fill="auto"/>
            <w:vAlign w:val="center"/>
          </w:tcPr>
          <w:p>
            <w:pPr>
              <w:jc w:val="right"/>
              <w:rPr>
                <w:sz w:val="18"/>
              </w:rPr>
            </w:pPr>
            <w:r>
              <w:rPr>
                <w:sz w:val="18"/>
              </w:rPr>
              <w:br/>
              <w:t>FR</w:t>
            </w:r>
          </w:p>
        </w:tc>
        <w:tc>
          <w:tcPr>
            <w:tcW w:w="0" w:type="auto"/>
            <w:tcBorders>
              <w:bottom w:val="single" w:sz="4" w:space="0" w:color="auto"/>
            </w:tcBorders>
            <w:shd w:val="clear" w:color="auto" w:fill="auto"/>
            <w:vAlign w:val="center"/>
          </w:tcPr>
          <w:p>
            <w:pPr>
              <w:jc w:val="right"/>
              <w:rPr>
                <w:sz w:val="18"/>
              </w:rPr>
            </w:pPr>
            <w:r>
              <w:rPr>
                <w:sz w:val="18"/>
              </w:rPr>
              <w:br/>
              <w:t>IT</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br/>
              <w:t>NL</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br/>
              <w:t>CS</w:t>
            </w:r>
          </w:p>
        </w:tc>
        <w:tc>
          <w:tcPr>
            <w:tcW w:w="0" w:type="auto"/>
            <w:tcBorders>
              <w:bottom w:val="single" w:sz="4" w:space="0" w:color="auto"/>
            </w:tcBorders>
            <w:shd w:val="clear" w:color="auto" w:fill="auto"/>
            <w:vAlign w:val="center"/>
          </w:tcPr>
          <w:p>
            <w:pPr>
              <w:jc w:val="right"/>
              <w:rPr>
                <w:sz w:val="18"/>
              </w:rPr>
            </w:pPr>
            <w:r>
              <w:rPr>
                <w:sz w:val="18"/>
              </w:rPr>
              <w:br/>
              <w:t>DA</w:t>
            </w:r>
          </w:p>
        </w:tc>
        <w:tc>
          <w:tcPr>
            <w:tcW w:w="0" w:type="auto"/>
            <w:tcBorders>
              <w:bottom w:val="single" w:sz="4" w:space="0" w:color="auto"/>
            </w:tcBorders>
            <w:shd w:val="clear" w:color="auto" w:fill="auto"/>
            <w:vAlign w:val="center"/>
          </w:tcPr>
          <w:p>
            <w:pPr>
              <w:jc w:val="right"/>
              <w:rPr>
                <w:sz w:val="18"/>
              </w:rPr>
            </w:pPr>
            <w:r>
              <w:rPr>
                <w:sz w:val="18"/>
              </w:rPr>
              <w:br/>
              <w:t>EL</w:t>
            </w:r>
          </w:p>
        </w:tc>
        <w:tc>
          <w:tcPr>
            <w:tcW w:w="0" w:type="auto"/>
            <w:tcBorders>
              <w:bottom w:val="single" w:sz="4" w:space="0" w:color="auto"/>
            </w:tcBorders>
            <w:shd w:val="clear" w:color="auto" w:fill="auto"/>
            <w:vAlign w:val="center"/>
          </w:tcPr>
          <w:p>
            <w:pPr>
              <w:jc w:val="right"/>
              <w:rPr>
                <w:sz w:val="18"/>
              </w:rPr>
            </w:pPr>
            <w:r>
              <w:rPr>
                <w:sz w:val="18"/>
              </w:rPr>
              <w:br/>
              <w:t>PL</w:t>
            </w:r>
          </w:p>
        </w:tc>
        <w:tc>
          <w:tcPr>
            <w:tcW w:w="0" w:type="auto"/>
            <w:tcBorders>
              <w:bottom w:val="single" w:sz="4" w:space="0" w:color="auto"/>
            </w:tcBorders>
            <w:shd w:val="clear" w:color="auto" w:fill="auto"/>
            <w:vAlign w:val="center"/>
          </w:tcPr>
          <w:p>
            <w:pPr>
              <w:jc w:val="right"/>
              <w:rPr>
                <w:sz w:val="18"/>
              </w:rPr>
            </w:pPr>
            <w:r>
              <w:rPr>
                <w:sz w:val="18"/>
              </w:rPr>
              <w:br/>
              <w:t>PT</w:t>
            </w:r>
          </w:p>
        </w:tc>
        <w:tc>
          <w:tcPr>
            <w:tcW w:w="0" w:type="auto"/>
            <w:tcBorders>
              <w:bottom w:val="single" w:sz="4" w:space="0" w:color="auto"/>
            </w:tcBorders>
            <w:shd w:val="clear" w:color="auto" w:fill="auto"/>
            <w:vAlign w:val="center"/>
          </w:tcPr>
          <w:p>
            <w:pPr>
              <w:jc w:val="right"/>
              <w:rPr>
                <w:sz w:val="18"/>
              </w:rPr>
            </w:pPr>
            <w:r>
              <w:rPr>
                <w:sz w:val="18"/>
              </w:rPr>
              <w:br/>
              <w:t>SV</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BE</w:t>
            </w:r>
          </w:p>
        </w:tc>
        <w:tc>
          <w:tcPr>
            <w:tcW w:w="0" w:type="auto"/>
            <w:tcBorders>
              <w:top w:val="single" w:sz="4" w:space="0" w:color="auto"/>
              <w:left w:val="single" w:sz="4" w:space="0" w:color="auto"/>
              <w:right w:val="single" w:sz="4" w:space="0" w:color="auto"/>
            </w:tcBorders>
            <w:shd w:val="clear" w:color="auto" w:fill="auto"/>
            <w:vAlign w:val="center"/>
          </w:tcPr>
          <w:p>
            <w:pPr>
              <w:jc w:val="right"/>
              <w:rPr>
                <w:sz w:val="18"/>
              </w:rPr>
            </w:pPr>
            <w:r>
              <w:rPr>
                <w:sz w:val="18"/>
              </w:rPr>
              <w:t>214</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 xml:space="preserve">  3%</w:t>
            </w:r>
          </w:p>
        </w:tc>
        <w:tc>
          <w:tcPr>
            <w:tcW w:w="0" w:type="auto"/>
            <w:tcBorders>
              <w:top w:val="single" w:sz="4" w:space="0" w:color="auto"/>
            </w:tcBorders>
            <w:shd w:val="clear" w:color="auto" w:fill="auto"/>
            <w:vAlign w:val="center"/>
          </w:tcPr>
          <w:p>
            <w:pPr>
              <w:jc w:val="right"/>
              <w:rPr>
                <w:sz w:val="18"/>
              </w:rPr>
            </w:pPr>
            <w:r>
              <w:rPr>
                <w:sz w:val="18"/>
              </w:rPr>
              <w:t xml:space="preserve"> 54%</w:t>
            </w:r>
          </w:p>
        </w:tc>
        <w:tc>
          <w:tcPr>
            <w:tcW w:w="0" w:type="auto"/>
            <w:tcBorders>
              <w:top w:val="single" w:sz="4" w:space="0" w:color="auto"/>
            </w:tcBorders>
            <w:shd w:val="clear" w:color="auto" w:fill="auto"/>
            <w:vAlign w:val="center"/>
          </w:tcPr>
          <w:p>
            <w:pPr>
              <w:jc w:val="right"/>
              <w:rPr>
                <w:sz w:val="18"/>
              </w:rPr>
            </w:pPr>
            <w:r>
              <w:rPr>
                <w:sz w:val="18"/>
              </w:rPr>
              <w:t xml:space="preserve"> 20%</w:t>
            </w:r>
          </w:p>
        </w:tc>
        <w:tc>
          <w:tcPr>
            <w:tcW w:w="0" w:type="auto"/>
            <w:tcBorders>
              <w:top w:val="single" w:sz="4" w:space="0" w:color="auto"/>
            </w:tcBorders>
            <w:shd w:val="clear" w:color="auto" w:fill="auto"/>
            <w:vAlign w:val="center"/>
          </w:tcPr>
          <w:p>
            <w:pPr>
              <w:jc w:val="right"/>
              <w:rPr>
                <w:sz w:val="18"/>
              </w:rPr>
            </w:pPr>
            <w:r>
              <w:rPr>
                <w:sz w:val="18"/>
              </w:rPr>
              <w:t xml:space="preserve">  1%</w:t>
            </w:r>
          </w:p>
        </w:tc>
        <w:tc>
          <w:tcPr>
            <w:tcW w:w="0" w:type="auto"/>
            <w:tcBorders>
              <w:top w:val="single" w:sz="4" w:space="0" w:color="auto"/>
            </w:tcBorders>
            <w:shd w:val="clear" w:color="auto" w:fill="auto"/>
            <w:vAlign w:val="center"/>
          </w:tcPr>
          <w:p>
            <w:pPr>
              <w:jc w:val="right"/>
              <w:rPr>
                <w:sz w:val="18"/>
              </w:rPr>
            </w:pPr>
            <w:r>
              <w:rPr>
                <w:sz w:val="18"/>
              </w:rPr>
              <w:t xml:space="preserve">  8%</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 xml:space="preserve"> 14%</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BG</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39</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97%</w:t>
            </w:r>
          </w:p>
        </w:tc>
        <w:tc>
          <w:tcPr>
            <w:tcW w:w="0" w:type="auto"/>
            <w:shd w:val="clear" w:color="auto" w:fill="auto"/>
            <w:vAlign w:val="center"/>
          </w:tcPr>
          <w:p>
            <w:pPr>
              <w:jc w:val="right"/>
              <w:rPr>
                <w:sz w:val="18"/>
              </w:rPr>
            </w:pPr>
            <w:r>
              <w:rPr>
                <w:sz w:val="18"/>
              </w:rPr>
              <w:t xml:space="preserve">  3%</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CZ</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153</w:t>
            </w:r>
          </w:p>
        </w:tc>
        <w:tc>
          <w:tcPr>
            <w:tcW w:w="0" w:type="auto"/>
            <w:tcBorders>
              <w:left w:val="single" w:sz="4" w:space="0" w:color="auto"/>
            </w:tcBorders>
            <w:shd w:val="clear" w:color="auto" w:fill="auto"/>
            <w:vAlign w:val="center"/>
          </w:tcPr>
          <w:p>
            <w:pPr>
              <w:jc w:val="right"/>
              <w:rPr>
                <w:sz w:val="18"/>
              </w:rPr>
            </w:pPr>
            <w:r>
              <w:rPr>
                <w:sz w:val="18"/>
              </w:rPr>
              <w:t xml:space="preserve">  1%</w:t>
            </w:r>
          </w:p>
        </w:tc>
        <w:tc>
          <w:tcPr>
            <w:tcW w:w="0" w:type="auto"/>
            <w:shd w:val="clear" w:color="auto" w:fill="auto"/>
            <w:vAlign w:val="center"/>
          </w:tcPr>
          <w:p>
            <w:pPr>
              <w:jc w:val="right"/>
              <w:rPr>
                <w:sz w:val="18"/>
              </w:rPr>
            </w:pPr>
            <w:r>
              <w:rPr>
                <w:sz w:val="18"/>
              </w:rPr>
              <w:t xml:space="preserve"> 99%</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 xml:space="preserve">  1%</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DK</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166</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98%</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2%</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bottom w:val="single" w:sz="4" w:space="0" w:color="auto"/>
              <w:right w:val="single" w:sz="4" w:space="0" w:color="auto"/>
            </w:tcBorders>
            <w:shd w:val="clear" w:color="auto" w:fill="auto"/>
            <w:vAlign w:val="center"/>
          </w:tcPr>
          <w:p>
            <w:pPr>
              <w:jc w:val="left"/>
              <w:rPr>
                <w:sz w:val="18"/>
              </w:rPr>
            </w:pPr>
            <w:r>
              <w:rPr>
                <w:sz w:val="18"/>
              </w:rPr>
              <w:t>DE</w:t>
            </w:r>
          </w:p>
        </w:tc>
        <w:tc>
          <w:tcPr>
            <w:tcW w:w="0" w:type="auto"/>
            <w:tcBorders>
              <w:left w:val="single" w:sz="4" w:space="0" w:color="auto"/>
              <w:bottom w:val="single" w:sz="4" w:space="0" w:color="auto"/>
              <w:right w:val="single" w:sz="4" w:space="0" w:color="auto"/>
            </w:tcBorders>
            <w:shd w:val="clear" w:color="auto" w:fill="auto"/>
            <w:vAlign w:val="center"/>
          </w:tcPr>
          <w:p>
            <w:pPr>
              <w:jc w:val="right"/>
              <w:rPr>
                <w:sz w:val="18"/>
              </w:rPr>
            </w:pPr>
            <w:r>
              <w:rPr>
                <w:sz w:val="18"/>
              </w:rPr>
              <w:t>572</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74%</w:t>
            </w:r>
          </w:p>
        </w:tc>
        <w:tc>
          <w:tcPr>
            <w:tcW w:w="0" w:type="auto"/>
            <w:tcBorders>
              <w:bottom w:val="single" w:sz="4" w:space="0" w:color="auto"/>
            </w:tcBorders>
            <w:shd w:val="clear" w:color="auto" w:fill="auto"/>
            <w:vAlign w:val="center"/>
          </w:tcPr>
          <w:p>
            <w:pPr>
              <w:jc w:val="right"/>
              <w:rPr>
                <w:sz w:val="18"/>
              </w:rPr>
            </w:pPr>
            <w:r>
              <w:rPr>
                <w:sz w:val="18"/>
              </w:rPr>
              <w:t xml:space="preserve"> 26%</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EE</w:t>
            </w:r>
          </w:p>
        </w:tc>
        <w:tc>
          <w:tcPr>
            <w:tcW w:w="0" w:type="auto"/>
            <w:tcBorders>
              <w:top w:val="single" w:sz="4" w:space="0" w:color="auto"/>
              <w:left w:val="single" w:sz="4" w:space="0" w:color="auto"/>
              <w:right w:val="single" w:sz="4" w:space="0" w:color="auto"/>
            </w:tcBorders>
            <w:shd w:val="clear" w:color="auto" w:fill="auto"/>
            <w:vAlign w:val="center"/>
          </w:tcPr>
          <w:p>
            <w:pPr>
              <w:jc w:val="right"/>
              <w:rPr>
                <w:sz w:val="18"/>
              </w:rPr>
            </w:pPr>
            <w:r>
              <w:rPr>
                <w:sz w:val="18"/>
              </w:rPr>
              <w:t>45</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IE</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273</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100%</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EL</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43</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93%</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7%</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ES</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1.842</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10%</w:t>
            </w:r>
          </w:p>
        </w:tc>
        <w:tc>
          <w:tcPr>
            <w:tcW w:w="0" w:type="auto"/>
            <w:shd w:val="clear" w:color="auto" w:fill="auto"/>
            <w:vAlign w:val="center"/>
          </w:tcPr>
          <w:p>
            <w:pPr>
              <w:jc w:val="right"/>
              <w:rPr>
                <w:sz w:val="18"/>
              </w:rPr>
            </w:pPr>
            <w:r>
              <w:rPr>
                <w:sz w:val="18"/>
              </w:rPr>
              <w:t xml:space="preserve"> 90%</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bottom w:val="single" w:sz="4" w:space="0" w:color="auto"/>
              <w:right w:val="single" w:sz="4" w:space="0" w:color="auto"/>
            </w:tcBorders>
            <w:shd w:val="clear" w:color="auto" w:fill="auto"/>
            <w:vAlign w:val="center"/>
          </w:tcPr>
          <w:p>
            <w:pPr>
              <w:jc w:val="left"/>
              <w:rPr>
                <w:sz w:val="18"/>
              </w:rPr>
            </w:pPr>
            <w:r>
              <w:rPr>
                <w:sz w:val="18"/>
              </w:rPr>
              <w:t>FR</w:t>
            </w:r>
          </w:p>
        </w:tc>
        <w:tc>
          <w:tcPr>
            <w:tcW w:w="0" w:type="auto"/>
            <w:tcBorders>
              <w:left w:val="single" w:sz="4" w:space="0" w:color="auto"/>
              <w:bottom w:val="single" w:sz="4" w:space="0" w:color="auto"/>
              <w:right w:val="single" w:sz="4" w:space="0" w:color="auto"/>
            </w:tcBorders>
            <w:shd w:val="clear" w:color="auto" w:fill="auto"/>
            <w:vAlign w:val="center"/>
          </w:tcPr>
          <w:p>
            <w:pPr>
              <w:jc w:val="right"/>
              <w:rPr>
                <w:sz w:val="18"/>
              </w:rPr>
            </w:pPr>
            <w:r>
              <w:rPr>
                <w:sz w:val="18"/>
              </w:rPr>
              <w:t>160</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1%</w:t>
            </w:r>
          </w:p>
        </w:tc>
        <w:tc>
          <w:tcPr>
            <w:tcW w:w="0" w:type="auto"/>
            <w:tcBorders>
              <w:bottom w:val="single" w:sz="4" w:space="0" w:color="auto"/>
            </w:tcBorders>
            <w:shd w:val="clear" w:color="auto" w:fill="auto"/>
            <w:vAlign w:val="center"/>
          </w:tcPr>
          <w:p>
            <w:pPr>
              <w:jc w:val="right"/>
              <w:rPr>
                <w:sz w:val="18"/>
              </w:rPr>
            </w:pPr>
            <w:r>
              <w:rPr>
                <w:sz w:val="18"/>
              </w:rPr>
              <w:t xml:space="preserve"> 89%</w:t>
            </w:r>
          </w:p>
        </w:tc>
        <w:tc>
          <w:tcPr>
            <w:tcW w:w="0" w:type="auto"/>
            <w:tcBorders>
              <w:bottom w:val="single" w:sz="4" w:space="0" w:color="auto"/>
            </w:tcBorders>
            <w:shd w:val="clear" w:color="auto" w:fill="auto"/>
            <w:vAlign w:val="center"/>
          </w:tcPr>
          <w:p>
            <w:pPr>
              <w:jc w:val="right"/>
              <w:rPr>
                <w:sz w:val="18"/>
              </w:rPr>
            </w:pPr>
            <w:r>
              <w:rPr>
                <w:sz w:val="18"/>
              </w:rPr>
              <w:t xml:space="preserve">  2%</w:t>
            </w:r>
          </w:p>
        </w:tc>
        <w:tc>
          <w:tcPr>
            <w:tcW w:w="0" w:type="auto"/>
            <w:tcBorders>
              <w:bottom w:val="single" w:sz="4" w:space="0" w:color="auto"/>
            </w:tcBorders>
            <w:shd w:val="clear" w:color="auto" w:fill="auto"/>
            <w:vAlign w:val="center"/>
          </w:tcPr>
          <w:p>
            <w:pPr>
              <w:jc w:val="right"/>
              <w:rPr>
                <w:sz w:val="18"/>
              </w:rPr>
            </w:pPr>
            <w:r>
              <w:rPr>
                <w:sz w:val="18"/>
              </w:rPr>
              <w:t xml:space="preserve">  8%</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HR</w:t>
            </w:r>
          </w:p>
        </w:tc>
        <w:tc>
          <w:tcPr>
            <w:tcW w:w="0" w:type="auto"/>
            <w:tcBorders>
              <w:top w:val="single" w:sz="4" w:space="0" w:color="auto"/>
              <w:left w:val="single" w:sz="4" w:space="0" w:color="auto"/>
              <w:right w:val="single" w:sz="4" w:space="0" w:color="auto"/>
            </w:tcBorders>
            <w:shd w:val="clear" w:color="auto" w:fill="auto"/>
            <w:vAlign w:val="center"/>
          </w:tcPr>
          <w:p>
            <w:pPr>
              <w:jc w:val="right"/>
              <w:rPr>
                <w:sz w:val="18"/>
              </w:rPr>
            </w:pPr>
            <w:r>
              <w:rPr>
                <w:sz w:val="18"/>
              </w:rPr>
              <w:t>31</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IT</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730</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32%</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68%</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CY</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63</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97%</w:t>
            </w:r>
          </w:p>
        </w:tc>
        <w:tc>
          <w:tcPr>
            <w:tcW w:w="0" w:type="auto"/>
            <w:shd w:val="clear" w:color="auto" w:fill="auto"/>
            <w:vAlign w:val="center"/>
          </w:tcPr>
          <w:p>
            <w:pPr>
              <w:jc w:val="right"/>
              <w:rPr>
                <w:sz w:val="18"/>
              </w:rPr>
            </w:pPr>
            <w:r>
              <w:rPr>
                <w:sz w:val="18"/>
              </w:rPr>
              <w:t xml:space="preserve">  2%</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2%</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LV</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28</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100%</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bottom w:val="single" w:sz="4" w:space="0" w:color="auto"/>
              <w:right w:val="single" w:sz="4" w:space="0" w:color="auto"/>
            </w:tcBorders>
            <w:shd w:val="clear" w:color="auto" w:fill="auto"/>
            <w:vAlign w:val="center"/>
          </w:tcPr>
          <w:p>
            <w:pPr>
              <w:jc w:val="left"/>
              <w:rPr>
                <w:sz w:val="18"/>
              </w:rPr>
            </w:pPr>
            <w:r>
              <w:rPr>
                <w:sz w:val="18"/>
              </w:rPr>
              <w:t>LT</w:t>
            </w:r>
          </w:p>
        </w:tc>
        <w:tc>
          <w:tcPr>
            <w:tcW w:w="0" w:type="auto"/>
            <w:tcBorders>
              <w:left w:val="single" w:sz="4" w:space="0" w:color="auto"/>
              <w:bottom w:val="single" w:sz="4" w:space="0" w:color="auto"/>
              <w:right w:val="single" w:sz="4" w:space="0" w:color="auto"/>
            </w:tcBorders>
            <w:shd w:val="clear" w:color="auto" w:fill="auto"/>
            <w:vAlign w:val="center"/>
          </w:tcPr>
          <w:p>
            <w:pPr>
              <w:jc w:val="right"/>
              <w:rPr>
                <w:sz w:val="18"/>
              </w:rPr>
            </w:pPr>
            <w:r>
              <w:rPr>
                <w:sz w:val="18"/>
              </w:rPr>
              <w:t>82</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LU</w:t>
            </w:r>
          </w:p>
        </w:tc>
        <w:tc>
          <w:tcPr>
            <w:tcW w:w="0" w:type="auto"/>
            <w:tcBorders>
              <w:top w:val="single" w:sz="4" w:space="0" w:color="auto"/>
              <w:left w:val="single" w:sz="4" w:space="0" w:color="auto"/>
              <w:right w:val="single" w:sz="4" w:space="0" w:color="auto"/>
            </w:tcBorders>
            <w:shd w:val="clear" w:color="auto" w:fill="auto"/>
            <w:vAlign w:val="center"/>
          </w:tcPr>
          <w:p>
            <w:pPr>
              <w:jc w:val="right"/>
              <w:rPr>
                <w:sz w:val="18"/>
              </w:rPr>
            </w:pPr>
            <w:r>
              <w:rPr>
                <w:sz w:val="18"/>
              </w:rPr>
              <w:t>127</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 xml:space="preserve">  2%</w:t>
            </w:r>
          </w:p>
        </w:tc>
        <w:tc>
          <w:tcPr>
            <w:tcW w:w="0" w:type="auto"/>
            <w:tcBorders>
              <w:top w:val="single" w:sz="4" w:space="0" w:color="auto"/>
            </w:tcBorders>
            <w:shd w:val="clear" w:color="auto" w:fill="auto"/>
            <w:vAlign w:val="center"/>
          </w:tcPr>
          <w:p>
            <w:pPr>
              <w:jc w:val="right"/>
              <w:rPr>
                <w:sz w:val="18"/>
              </w:rPr>
            </w:pPr>
            <w:r>
              <w:rPr>
                <w:sz w:val="18"/>
              </w:rPr>
              <w:t xml:space="preserve"> 98%</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 xml:space="preserve">  1%</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HU</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134</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100%</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MT</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71</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100%</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NL</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446</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65%</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 xml:space="preserve"> 35%</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bottom w:val="single" w:sz="4" w:space="0" w:color="auto"/>
              <w:right w:val="single" w:sz="4" w:space="0" w:color="auto"/>
            </w:tcBorders>
            <w:shd w:val="clear" w:color="auto" w:fill="auto"/>
            <w:vAlign w:val="center"/>
          </w:tcPr>
          <w:p>
            <w:pPr>
              <w:jc w:val="left"/>
              <w:rPr>
                <w:sz w:val="18"/>
              </w:rPr>
            </w:pPr>
            <w:r>
              <w:rPr>
                <w:sz w:val="18"/>
              </w:rPr>
              <w:t>AT</w:t>
            </w:r>
          </w:p>
        </w:tc>
        <w:tc>
          <w:tcPr>
            <w:tcW w:w="0" w:type="auto"/>
            <w:tcBorders>
              <w:left w:val="single" w:sz="4" w:space="0" w:color="auto"/>
              <w:bottom w:val="single" w:sz="4" w:space="0" w:color="auto"/>
              <w:right w:val="single" w:sz="4" w:space="0" w:color="auto"/>
            </w:tcBorders>
            <w:shd w:val="clear" w:color="auto" w:fill="auto"/>
            <w:vAlign w:val="center"/>
          </w:tcPr>
          <w:p>
            <w:pPr>
              <w:jc w:val="right"/>
              <w:rPr>
                <w:sz w:val="18"/>
              </w:rPr>
            </w:pPr>
            <w:r>
              <w:rPr>
                <w:sz w:val="18"/>
              </w:rPr>
              <w:t>158</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55%</w:t>
            </w:r>
          </w:p>
        </w:tc>
        <w:tc>
          <w:tcPr>
            <w:tcW w:w="0" w:type="auto"/>
            <w:tcBorders>
              <w:bottom w:val="single" w:sz="4" w:space="0" w:color="auto"/>
            </w:tcBorders>
            <w:shd w:val="clear" w:color="auto" w:fill="auto"/>
            <w:vAlign w:val="center"/>
          </w:tcPr>
          <w:p>
            <w:pPr>
              <w:jc w:val="right"/>
              <w:rPr>
                <w:sz w:val="18"/>
              </w:rPr>
            </w:pPr>
            <w:r>
              <w:rPr>
                <w:sz w:val="18"/>
              </w:rPr>
              <w:t xml:space="preserve"> 45%</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PL</w:t>
            </w:r>
          </w:p>
        </w:tc>
        <w:tc>
          <w:tcPr>
            <w:tcW w:w="0" w:type="auto"/>
            <w:tcBorders>
              <w:top w:val="single" w:sz="4" w:space="0" w:color="auto"/>
              <w:left w:val="single" w:sz="4" w:space="0" w:color="auto"/>
              <w:right w:val="single" w:sz="4" w:space="0" w:color="auto"/>
            </w:tcBorders>
            <w:shd w:val="clear" w:color="auto" w:fill="auto"/>
            <w:vAlign w:val="center"/>
          </w:tcPr>
          <w:p>
            <w:pPr>
              <w:jc w:val="right"/>
              <w:rPr>
                <w:sz w:val="18"/>
              </w:rPr>
            </w:pPr>
            <w:r>
              <w:rPr>
                <w:sz w:val="18"/>
              </w:rPr>
              <w:t>159</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 xml:space="preserve">  1%</w:t>
            </w:r>
          </w:p>
        </w:tc>
        <w:tc>
          <w:tcPr>
            <w:tcW w:w="0" w:type="auto"/>
            <w:tcBorders>
              <w:top w:val="single" w:sz="4" w:space="0" w:color="auto"/>
            </w:tcBorders>
            <w:shd w:val="clear" w:color="auto" w:fill="auto"/>
            <w:vAlign w:val="center"/>
          </w:tcPr>
          <w:p>
            <w:pPr>
              <w:jc w:val="right"/>
              <w:rPr>
                <w:sz w:val="18"/>
              </w:rPr>
            </w:pPr>
            <w:r>
              <w:rPr>
                <w:sz w:val="18"/>
              </w:rPr>
              <w:t xml:space="preserve"> 98%</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 xml:space="preserve">  1%</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PT</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261</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87%</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13%</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RO</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55</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98%</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 xml:space="preserve">  2%</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SI</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44</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100%</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bottom w:val="single" w:sz="4" w:space="0" w:color="auto"/>
              <w:right w:val="single" w:sz="4" w:space="0" w:color="auto"/>
            </w:tcBorders>
            <w:shd w:val="clear" w:color="auto" w:fill="auto"/>
            <w:vAlign w:val="center"/>
          </w:tcPr>
          <w:p>
            <w:pPr>
              <w:jc w:val="left"/>
              <w:rPr>
                <w:sz w:val="18"/>
              </w:rPr>
            </w:pPr>
            <w:r>
              <w:rPr>
                <w:sz w:val="18"/>
              </w:rPr>
              <w:t>SK</w:t>
            </w:r>
          </w:p>
        </w:tc>
        <w:tc>
          <w:tcPr>
            <w:tcW w:w="0" w:type="auto"/>
            <w:tcBorders>
              <w:left w:val="single" w:sz="4" w:space="0" w:color="auto"/>
              <w:bottom w:val="single" w:sz="4" w:space="0" w:color="auto"/>
              <w:right w:val="single" w:sz="4" w:space="0" w:color="auto"/>
            </w:tcBorders>
            <w:shd w:val="clear" w:color="auto" w:fill="auto"/>
            <w:vAlign w:val="center"/>
          </w:tcPr>
          <w:p>
            <w:pPr>
              <w:jc w:val="right"/>
              <w:rPr>
                <w:sz w:val="18"/>
              </w:rPr>
            </w:pPr>
            <w:r>
              <w:rPr>
                <w:sz w:val="18"/>
              </w:rPr>
              <w:t>26</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FI</w:t>
            </w:r>
          </w:p>
        </w:tc>
        <w:tc>
          <w:tcPr>
            <w:tcW w:w="0" w:type="auto"/>
            <w:tcBorders>
              <w:top w:val="single" w:sz="4" w:space="0" w:color="auto"/>
              <w:left w:val="single" w:sz="4" w:space="0" w:color="auto"/>
              <w:right w:val="single" w:sz="4" w:space="0" w:color="auto"/>
            </w:tcBorders>
            <w:shd w:val="clear" w:color="auto" w:fill="auto"/>
            <w:vAlign w:val="center"/>
          </w:tcPr>
          <w:p>
            <w:pPr>
              <w:jc w:val="right"/>
              <w:rPr>
                <w:sz w:val="18"/>
              </w:rPr>
            </w:pPr>
            <w:r>
              <w:rPr>
                <w:sz w:val="18"/>
              </w:rPr>
              <w:t>253</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SE</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273</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100%</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UK</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826</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100%</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TR</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93</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100%</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bottom w:val="single" w:sz="4" w:space="0" w:color="auto"/>
              <w:right w:val="single" w:sz="4" w:space="0" w:color="auto"/>
            </w:tcBorders>
            <w:shd w:val="clear" w:color="auto" w:fill="auto"/>
            <w:vAlign w:val="center"/>
          </w:tcPr>
          <w:p>
            <w:pPr>
              <w:jc w:val="left"/>
              <w:rPr>
                <w:sz w:val="18"/>
              </w:rPr>
            </w:pPr>
            <w:r>
              <w:rPr>
                <w:sz w:val="18"/>
              </w:rPr>
              <w:t>LI</w:t>
            </w:r>
          </w:p>
        </w:tc>
        <w:tc>
          <w:tcPr>
            <w:tcW w:w="0" w:type="auto"/>
            <w:tcBorders>
              <w:left w:val="single" w:sz="4" w:space="0" w:color="auto"/>
              <w:bottom w:val="single" w:sz="4" w:space="0" w:color="auto"/>
              <w:right w:val="single" w:sz="4" w:space="0" w:color="auto"/>
            </w:tcBorders>
            <w:shd w:val="clear" w:color="auto" w:fill="auto"/>
            <w:vAlign w:val="center"/>
          </w:tcPr>
          <w:p>
            <w:pPr>
              <w:jc w:val="right"/>
              <w:rPr>
                <w:sz w:val="18"/>
              </w:rPr>
            </w:pPr>
            <w:r>
              <w:rPr>
                <w:sz w:val="18"/>
              </w:rPr>
              <w:t>0</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IS</w:t>
            </w:r>
          </w:p>
        </w:tc>
        <w:tc>
          <w:tcPr>
            <w:tcW w:w="0" w:type="auto"/>
            <w:tcBorders>
              <w:top w:val="single" w:sz="4" w:space="0" w:color="auto"/>
              <w:left w:val="single" w:sz="4" w:space="0" w:color="auto"/>
              <w:right w:val="single" w:sz="4" w:space="0" w:color="auto"/>
            </w:tcBorders>
            <w:shd w:val="clear" w:color="auto" w:fill="auto"/>
            <w:vAlign w:val="center"/>
          </w:tcPr>
          <w:p>
            <w:pPr>
              <w:jc w:val="right"/>
              <w:rPr>
                <w:sz w:val="18"/>
              </w:rPr>
            </w:pPr>
            <w:r>
              <w:rPr>
                <w:sz w:val="18"/>
              </w:rPr>
              <w:t>10</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MK</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0</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NO</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150</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100%</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other</w:t>
            </w:r>
          </w:p>
        </w:tc>
        <w:tc>
          <w:tcPr>
            <w:tcW w:w="0" w:type="auto"/>
            <w:tcBorders>
              <w:left w:val="single" w:sz="4" w:space="0" w:color="auto"/>
              <w:right w:val="single" w:sz="4" w:space="0" w:color="auto"/>
            </w:tcBorders>
            <w:shd w:val="clear" w:color="auto" w:fill="auto"/>
            <w:vAlign w:val="center"/>
          </w:tcPr>
          <w:p>
            <w:pPr>
              <w:jc w:val="right"/>
              <w:rPr>
                <w:sz w:val="18"/>
              </w:rPr>
            </w:pPr>
            <w:r>
              <w:rPr>
                <w:sz w:val="18"/>
              </w:rPr>
              <w:t>126</w:t>
            </w:r>
          </w:p>
        </w:tc>
        <w:tc>
          <w:tcPr>
            <w:tcW w:w="0" w:type="auto"/>
            <w:tcBorders>
              <w:left w:val="single" w:sz="4" w:space="0" w:color="auto"/>
            </w:tcBorders>
            <w:shd w:val="clear" w:color="auto" w:fill="auto"/>
            <w:vAlign w:val="center"/>
          </w:tcPr>
          <w:p>
            <w:pPr>
              <w:jc w:val="right"/>
              <w:rPr>
                <w:sz w:val="18"/>
              </w:rPr>
            </w:pPr>
            <w:r>
              <w:rPr>
                <w:sz w:val="18"/>
              </w:rPr>
              <w:t xml:space="preserve">  7%</w:t>
            </w:r>
          </w:p>
        </w:tc>
        <w:tc>
          <w:tcPr>
            <w:tcW w:w="0" w:type="auto"/>
            <w:shd w:val="clear" w:color="auto" w:fill="auto"/>
            <w:vAlign w:val="center"/>
          </w:tcPr>
          <w:p>
            <w:pPr>
              <w:jc w:val="right"/>
              <w:rPr>
                <w:sz w:val="18"/>
              </w:rPr>
            </w:pPr>
            <w:r>
              <w:rPr>
                <w:sz w:val="18"/>
              </w:rPr>
              <w:t xml:space="preserve"> 79%</w:t>
            </w:r>
          </w:p>
        </w:tc>
        <w:tc>
          <w:tcPr>
            <w:tcW w:w="0" w:type="auto"/>
            <w:shd w:val="clear" w:color="auto" w:fill="auto"/>
            <w:vAlign w:val="center"/>
          </w:tcPr>
          <w:p>
            <w:pPr>
              <w:jc w:val="right"/>
              <w:rPr>
                <w:sz w:val="18"/>
              </w:rPr>
            </w:pPr>
            <w:r>
              <w:rPr>
                <w:sz w:val="18"/>
              </w:rPr>
              <w:t xml:space="preserve"> 11%</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 xml:space="preserve">  1%</w:t>
            </w:r>
          </w:p>
        </w:tc>
        <w:tc>
          <w:tcPr>
            <w:tcW w:w="0" w:type="auto"/>
            <w:tcBorders>
              <w:right w:val="single" w:sz="4" w:space="0" w:color="auto"/>
            </w:tcBorders>
            <w:shd w:val="clear" w:color="auto" w:fill="auto"/>
            <w:vAlign w:val="center"/>
          </w:tcPr>
          <w:p>
            <w:pPr>
              <w:jc w:val="right"/>
              <w:rPr>
                <w:sz w:val="18"/>
              </w:rPr>
            </w:pPr>
            <w:r>
              <w:rPr>
                <w:sz w:val="18"/>
              </w:rPr>
              <w:t xml:space="preserve">  2%</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bookmarkEnd w:id="15"/>
    </w:tbl>
    <w:p/>
    <w:p>
      <w:pPr>
        <w:sectPr>
          <w:pgSz w:w="11907" w:h="16839" w:code="9"/>
          <w:pgMar w:top="1440" w:right="1440" w:bottom="1440" w:left="1440" w:header="709" w:footer="709" w:gutter="0"/>
          <w:cols w:space="708"/>
          <w:docGrid w:linePitch="360"/>
        </w:sectPr>
      </w:pPr>
    </w:p>
    <w:p>
      <w:pPr>
        <w:pStyle w:val="Titre1"/>
      </w:pPr>
      <w:bookmarkStart w:id="16" w:name="sec_II__Results_of_Erasmus__OLS_Language"/>
      <w:bookmarkStart w:id="17" w:name="_Toc476736931"/>
      <w:bookmarkEnd w:id="16"/>
      <w:r>
        <w:lastRenderedPageBreak/>
        <w:t>II. Results of Erasmus+ OLS Language Assessments</w:t>
      </w:r>
      <w:bookmarkEnd w:id="17"/>
    </w:p>
    <w:p>
      <w:pPr>
        <w:sectPr>
          <w:pgSz w:w="11907" w:h="16839" w:code="9"/>
          <w:pgMar w:top="1440" w:right="1440" w:bottom="1440" w:left="1440" w:header="709" w:footer="709" w:gutter="0"/>
          <w:cols w:space="708"/>
          <w:docGrid w:linePitch="360"/>
        </w:sectPr>
      </w:pPr>
    </w:p>
    <w:p>
      <w:pPr>
        <w:pStyle w:val="Titre2"/>
      </w:pPr>
      <w:bookmarkStart w:id="18" w:name="subsec____OLS_Results_for_the_First_Lang"/>
      <w:bookmarkStart w:id="19" w:name="_Toc476736932"/>
      <w:bookmarkEnd w:id="18"/>
      <w:r>
        <w:t>1. OLS Results for the First Language Assessment</w:t>
      </w:r>
      <w:bookmarkEnd w:id="19"/>
    </w:p>
    <w:p>
      <w:pPr>
        <w:pStyle w:val="Corpsdetexte"/>
      </w:pPr>
      <w:r>
        <w:t>This table/graph gives on overview of  participants' results on completed language assessment 1 per language and per CEFR level.</w:t>
      </w:r>
    </w:p>
    <w:p>
      <w:pPr>
        <w:pStyle w:val="Lgende"/>
        <w:keepNext/>
      </w:pPr>
      <w:r>
        <w:t xml:space="preserve">Table </w:t>
      </w:r>
      <w:fldSimple w:instr=" SEQ Table \* ARABIC ">
        <w:r>
          <w:rPr>
            <w:noProof/>
          </w:rPr>
          <w:t>5</w:t>
        </w:r>
      </w:fldSimple>
      <w:r>
        <w:t>.  participants' results of completed language assessment 1 per language per CEFR level</w:t>
      </w:r>
    </w:p>
    <w:tbl>
      <w:tblPr>
        <w:tblW w:w="0" w:type="auto"/>
        <w:tblCellMar>
          <w:left w:w="100" w:type="dxa"/>
          <w:right w:w="100" w:type="dxa"/>
        </w:tblCellMar>
        <w:tblLook w:val="0000" w:firstRow="0" w:lastRow="0" w:firstColumn="0" w:lastColumn="0" w:noHBand="0" w:noVBand="0"/>
      </w:tblPr>
      <w:tblGrid>
        <w:gridCol w:w="1236"/>
        <w:gridCol w:w="688"/>
        <w:gridCol w:w="739"/>
        <w:gridCol w:w="739"/>
        <w:gridCol w:w="688"/>
        <w:gridCol w:w="688"/>
        <w:gridCol w:w="688"/>
        <w:gridCol w:w="1873"/>
      </w:tblGrid>
      <w:tr>
        <w:tc>
          <w:tcPr>
            <w:tcW w:w="0" w:type="auto"/>
            <w:tcBorders>
              <w:bottom w:val="single" w:sz="4" w:space="0" w:color="auto"/>
            </w:tcBorders>
            <w:shd w:val="clear" w:color="auto" w:fill="auto"/>
            <w:vAlign w:val="center"/>
          </w:tcPr>
          <w:p>
            <w:pPr>
              <w:jc w:val="left"/>
              <w:rPr>
                <w:sz w:val="18"/>
              </w:rPr>
            </w:pPr>
            <w:bookmarkStart w:id="20" w:name="Table15"/>
          </w:p>
        </w:tc>
        <w:tc>
          <w:tcPr>
            <w:tcW w:w="0" w:type="auto"/>
            <w:tcBorders>
              <w:bottom w:val="single" w:sz="4" w:space="0" w:color="auto"/>
            </w:tcBorders>
            <w:shd w:val="clear" w:color="auto" w:fill="auto"/>
            <w:vAlign w:val="center"/>
          </w:tcPr>
          <w:p>
            <w:pPr>
              <w:jc w:val="right"/>
              <w:rPr>
                <w:sz w:val="18"/>
              </w:rPr>
            </w:pPr>
            <w:r>
              <w:rPr>
                <w:sz w:val="18"/>
              </w:rPr>
              <w:t>A1</w:t>
            </w:r>
          </w:p>
        </w:tc>
        <w:tc>
          <w:tcPr>
            <w:tcW w:w="0" w:type="auto"/>
            <w:tcBorders>
              <w:bottom w:val="single" w:sz="4" w:space="0" w:color="auto"/>
            </w:tcBorders>
            <w:shd w:val="clear" w:color="auto" w:fill="auto"/>
            <w:vAlign w:val="center"/>
          </w:tcPr>
          <w:p>
            <w:pPr>
              <w:jc w:val="right"/>
              <w:rPr>
                <w:sz w:val="18"/>
              </w:rPr>
            </w:pPr>
            <w:r>
              <w:rPr>
                <w:sz w:val="18"/>
              </w:rPr>
              <w:t>A2</w:t>
            </w:r>
          </w:p>
        </w:tc>
        <w:tc>
          <w:tcPr>
            <w:tcW w:w="0" w:type="auto"/>
            <w:tcBorders>
              <w:bottom w:val="single" w:sz="4" w:space="0" w:color="auto"/>
            </w:tcBorders>
            <w:shd w:val="clear" w:color="auto" w:fill="auto"/>
            <w:vAlign w:val="center"/>
          </w:tcPr>
          <w:p>
            <w:pPr>
              <w:jc w:val="right"/>
              <w:rPr>
                <w:sz w:val="18"/>
              </w:rPr>
            </w:pPr>
            <w:r>
              <w:rPr>
                <w:sz w:val="18"/>
              </w:rPr>
              <w:t>B1</w:t>
            </w:r>
          </w:p>
        </w:tc>
        <w:tc>
          <w:tcPr>
            <w:tcW w:w="0" w:type="auto"/>
            <w:tcBorders>
              <w:bottom w:val="single" w:sz="4" w:space="0" w:color="auto"/>
            </w:tcBorders>
            <w:shd w:val="clear" w:color="auto" w:fill="auto"/>
            <w:vAlign w:val="center"/>
          </w:tcPr>
          <w:p>
            <w:pPr>
              <w:jc w:val="right"/>
              <w:rPr>
                <w:sz w:val="18"/>
              </w:rPr>
            </w:pPr>
            <w:r>
              <w:rPr>
                <w:sz w:val="18"/>
              </w:rPr>
              <w:t>B2</w:t>
            </w:r>
          </w:p>
        </w:tc>
        <w:tc>
          <w:tcPr>
            <w:tcW w:w="0" w:type="auto"/>
            <w:tcBorders>
              <w:bottom w:val="single" w:sz="4" w:space="0" w:color="auto"/>
            </w:tcBorders>
            <w:shd w:val="clear" w:color="auto" w:fill="auto"/>
            <w:vAlign w:val="center"/>
          </w:tcPr>
          <w:p>
            <w:pPr>
              <w:jc w:val="right"/>
              <w:rPr>
                <w:sz w:val="18"/>
              </w:rPr>
            </w:pPr>
            <w:r>
              <w:rPr>
                <w:sz w:val="18"/>
              </w:rPr>
              <w:t>C1</w:t>
            </w:r>
          </w:p>
        </w:tc>
        <w:tc>
          <w:tcPr>
            <w:tcW w:w="0" w:type="auto"/>
            <w:tcBorders>
              <w:bottom w:val="single" w:sz="4" w:space="0" w:color="auto"/>
            </w:tcBorders>
            <w:shd w:val="clear" w:color="auto" w:fill="auto"/>
            <w:vAlign w:val="center"/>
          </w:tcPr>
          <w:p>
            <w:pPr>
              <w:jc w:val="right"/>
              <w:rPr>
                <w:sz w:val="18"/>
              </w:rPr>
            </w:pPr>
            <w:r>
              <w:rPr>
                <w:sz w:val="18"/>
              </w:rPr>
              <w:t>C2</w:t>
            </w:r>
          </w:p>
        </w:tc>
        <w:tc>
          <w:tcPr>
            <w:tcW w:w="0" w:type="auto"/>
            <w:tcBorders>
              <w:bottom w:val="single" w:sz="4" w:space="0" w:color="auto"/>
            </w:tcBorders>
            <w:shd w:val="clear" w:color="auto" w:fill="auto"/>
            <w:vAlign w:val="center"/>
          </w:tcPr>
          <w:p>
            <w:pPr>
              <w:jc w:val="right"/>
              <w:rPr>
                <w:sz w:val="18"/>
              </w:rPr>
            </w:pPr>
            <w:r>
              <w:rPr>
                <w:sz w:val="18"/>
              </w:rPr>
              <w:t>Total LA1 per language</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DE</w:t>
            </w:r>
          </w:p>
        </w:tc>
        <w:tc>
          <w:tcPr>
            <w:tcW w:w="0" w:type="auto"/>
            <w:tcBorders>
              <w:top w:val="single" w:sz="4" w:space="0" w:color="auto"/>
            </w:tcBorders>
            <w:shd w:val="clear" w:color="auto" w:fill="auto"/>
            <w:vAlign w:val="center"/>
          </w:tcPr>
          <w:p>
            <w:pPr>
              <w:jc w:val="right"/>
              <w:rPr>
                <w:sz w:val="18"/>
              </w:rPr>
            </w:pPr>
            <w:r>
              <w:rPr>
                <w:sz w:val="18"/>
              </w:rPr>
              <w:t xml:space="preserve">  6,8%</w:t>
            </w:r>
          </w:p>
        </w:tc>
        <w:tc>
          <w:tcPr>
            <w:tcW w:w="0" w:type="auto"/>
            <w:tcBorders>
              <w:top w:val="single" w:sz="4" w:space="0" w:color="auto"/>
            </w:tcBorders>
            <w:shd w:val="clear" w:color="auto" w:fill="auto"/>
            <w:vAlign w:val="center"/>
          </w:tcPr>
          <w:p>
            <w:pPr>
              <w:jc w:val="right"/>
              <w:rPr>
                <w:sz w:val="18"/>
              </w:rPr>
            </w:pPr>
            <w:r>
              <w:rPr>
                <w:sz w:val="18"/>
              </w:rPr>
              <w:t xml:space="preserve">  8,7%</w:t>
            </w:r>
          </w:p>
        </w:tc>
        <w:tc>
          <w:tcPr>
            <w:tcW w:w="0" w:type="auto"/>
            <w:tcBorders>
              <w:top w:val="single" w:sz="4" w:space="0" w:color="auto"/>
            </w:tcBorders>
            <w:shd w:val="clear" w:color="auto" w:fill="auto"/>
            <w:vAlign w:val="center"/>
          </w:tcPr>
          <w:p>
            <w:pPr>
              <w:jc w:val="right"/>
              <w:rPr>
                <w:sz w:val="18"/>
              </w:rPr>
            </w:pPr>
            <w:r>
              <w:rPr>
                <w:sz w:val="18"/>
              </w:rPr>
              <w:t xml:space="preserve"> 19,2%</w:t>
            </w:r>
          </w:p>
        </w:tc>
        <w:tc>
          <w:tcPr>
            <w:tcW w:w="0" w:type="auto"/>
            <w:tcBorders>
              <w:top w:val="single" w:sz="4" w:space="0" w:color="auto"/>
            </w:tcBorders>
            <w:shd w:val="clear" w:color="auto" w:fill="auto"/>
            <w:vAlign w:val="center"/>
          </w:tcPr>
          <w:p>
            <w:pPr>
              <w:jc w:val="right"/>
              <w:rPr>
                <w:sz w:val="18"/>
              </w:rPr>
            </w:pPr>
            <w:r>
              <w:rPr>
                <w:sz w:val="18"/>
              </w:rPr>
              <w:t xml:space="preserve"> 30,6%</w:t>
            </w:r>
          </w:p>
        </w:tc>
        <w:tc>
          <w:tcPr>
            <w:tcW w:w="0" w:type="auto"/>
            <w:tcBorders>
              <w:top w:val="single" w:sz="4" w:space="0" w:color="auto"/>
            </w:tcBorders>
            <w:shd w:val="clear" w:color="auto" w:fill="auto"/>
            <w:vAlign w:val="center"/>
          </w:tcPr>
          <w:p>
            <w:pPr>
              <w:jc w:val="right"/>
              <w:rPr>
                <w:sz w:val="18"/>
              </w:rPr>
            </w:pPr>
            <w:r>
              <w:rPr>
                <w:sz w:val="18"/>
              </w:rPr>
              <w:t xml:space="preserve"> 18,8%</w:t>
            </w:r>
          </w:p>
        </w:tc>
        <w:tc>
          <w:tcPr>
            <w:tcW w:w="0" w:type="auto"/>
            <w:tcBorders>
              <w:top w:val="single" w:sz="4" w:space="0" w:color="auto"/>
            </w:tcBorders>
            <w:shd w:val="clear" w:color="auto" w:fill="auto"/>
            <w:vAlign w:val="center"/>
          </w:tcPr>
          <w:p>
            <w:pPr>
              <w:jc w:val="right"/>
              <w:rPr>
                <w:sz w:val="18"/>
              </w:rPr>
            </w:pPr>
            <w:r>
              <w:rPr>
                <w:sz w:val="18"/>
              </w:rPr>
              <w:t xml:space="preserve"> 15,8%</w:t>
            </w:r>
          </w:p>
        </w:tc>
        <w:tc>
          <w:tcPr>
            <w:tcW w:w="0" w:type="auto"/>
            <w:tcBorders>
              <w:top w:val="single" w:sz="4" w:space="0" w:color="auto"/>
            </w:tcBorders>
            <w:shd w:val="clear" w:color="auto" w:fill="auto"/>
            <w:vAlign w:val="center"/>
          </w:tcPr>
          <w:p>
            <w:pPr>
              <w:jc w:val="right"/>
              <w:rPr>
                <w:sz w:val="18"/>
              </w:rPr>
            </w:pPr>
            <w:r>
              <w:rPr>
                <w:sz w:val="18"/>
              </w:rPr>
              <w:t>526</w:t>
            </w:r>
          </w:p>
        </w:tc>
      </w:tr>
      <w:tr>
        <w:trPr>
          <w:trHeight w:hRule="exact" w:val="280"/>
        </w:trPr>
        <w:tc>
          <w:tcPr>
            <w:tcW w:w="0" w:type="auto"/>
            <w:shd w:val="clear" w:color="auto" w:fill="auto"/>
            <w:vAlign w:val="center"/>
          </w:tcPr>
          <w:p>
            <w:pPr>
              <w:jc w:val="left"/>
              <w:rPr>
                <w:sz w:val="18"/>
              </w:rPr>
            </w:pPr>
            <w:r>
              <w:rPr>
                <w:sz w:val="18"/>
              </w:rPr>
              <w:t>EN</w:t>
            </w:r>
          </w:p>
        </w:tc>
        <w:tc>
          <w:tcPr>
            <w:tcW w:w="0" w:type="auto"/>
            <w:shd w:val="clear" w:color="auto" w:fill="auto"/>
            <w:vAlign w:val="center"/>
          </w:tcPr>
          <w:p>
            <w:pPr>
              <w:jc w:val="right"/>
              <w:rPr>
                <w:sz w:val="18"/>
              </w:rPr>
            </w:pPr>
            <w:r>
              <w:rPr>
                <w:sz w:val="18"/>
              </w:rPr>
              <w:t xml:space="preserve">  0,2%</w:t>
            </w:r>
          </w:p>
        </w:tc>
        <w:tc>
          <w:tcPr>
            <w:tcW w:w="0" w:type="auto"/>
            <w:shd w:val="clear" w:color="auto" w:fill="auto"/>
            <w:vAlign w:val="center"/>
          </w:tcPr>
          <w:p>
            <w:pPr>
              <w:jc w:val="right"/>
              <w:rPr>
                <w:sz w:val="18"/>
              </w:rPr>
            </w:pPr>
            <w:r>
              <w:rPr>
                <w:sz w:val="18"/>
              </w:rPr>
              <w:t xml:space="preserve">  3,6%</w:t>
            </w:r>
          </w:p>
        </w:tc>
        <w:tc>
          <w:tcPr>
            <w:tcW w:w="0" w:type="auto"/>
            <w:shd w:val="clear" w:color="auto" w:fill="auto"/>
            <w:vAlign w:val="center"/>
          </w:tcPr>
          <w:p>
            <w:pPr>
              <w:jc w:val="right"/>
              <w:rPr>
                <w:sz w:val="18"/>
              </w:rPr>
            </w:pPr>
            <w:r>
              <w:rPr>
                <w:sz w:val="18"/>
              </w:rPr>
              <w:t xml:space="preserve"> 16,9%</w:t>
            </w:r>
          </w:p>
        </w:tc>
        <w:tc>
          <w:tcPr>
            <w:tcW w:w="0" w:type="auto"/>
            <w:shd w:val="clear" w:color="auto" w:fill="auto"/>
            <w:vAlign w:val="center"/>
          </w:tcPr>
          <w:p>
            <w:pPr>
              <w:jc w:val="right"/>
              <w:rPr>
                <w:sz w:val="18"/>
              </w:rPr>
            </w:pPr>
            <w:r>
              <w:rPr>
                <w:sz w:val="18"/>
              </w:rPr>
              <w:t xml:space="preserve"> 31,6%</w:t>
            </w:r>
          </w:p>
        </w:tc>
        <w:tc>
          <w:tcPr>
            <w:tcW w:w="0" w:type="auto"/>
            <w:shd w:val="clear" w:color="auto" w:fill="auto"/>
            <w:vAlign w:val="center"/>
          </w:tcPr>
          <w:p>
            <w:pPr>
              <w:jc w:val="right"/>
              <w:rPr>
                <w:sz w:val="18"/>
              </w:rPr>
            </w:pPr>
            <w:r>
              <w:rPr>
                <w:sz w:val="18"/>
              </w:rPr>
              <w:t xml:space="preserve"> 28,8%</w:t>
            </w:r>
          </w:p>
        </w:tc>
        <w:tc>
          <w:tcPr>
            <w:tcW w:w="0" w:type="auto"/>
            <w:shd w:val="clear" w:color="auto" w:fill="auto"/>
            <w:vAlign w:val="center"/>
          </w:tcPr>
          <w:p>
            <w:pPr>
              <w:jc w:val="right"/>
              <w:rPr>
                <w:sz w:val="18"/>
              </w:rPr>
            </w:pPr>
            <w:r>
              <w:rPr>
                <w:sz w:val="18"/>
              </w:rPr>
              <w:t xml:space="preserve"> 19,0%</w:t>
            </w:r>
          </w:p>
        </w:tc>
        <w:tc>
          <w:tcPr>
            <w:tcW w:w="0" w:type="auto"/>
            <w:shd w:val="clear" w:color="auto" w:fill="auto"/>
            <w:vAlign w:val="center"/>
          </w:tcPr>
          <w:p>
            <w:pPr>
              <w:jc w:val="right"/>
              <w:rPr>
                <w:sz w:val="18"/>
              </w:rPr>
            </w:pPr>
            <w:r>
              <w:rPr>
                <w:sz w:val="18"/>
              </w:rPr>
              <w:t>4.613</w:t>
            </w:r>
          </w:p>
        </w:tc>
      </w:tr>
      <w:tr>
        <w:trPr>
          <w:trHeight w:hRule="exact" w:val="280"/>
        </w:trPr>
        <w:tc>
          <w:tcPr>
            <w:tcW w:w="0" w:type="auto"/>
            <w:shd w:val="clear" w:color="auto" w:fill="auto"/>
            <w:vAlign w:val="center"/>
          </w:tcPr>
          <w:p>
            <w:pPr>
              <w:jc w:val="left"/>
              <w:rPr>
                <w:sz w:val="18"/>
              </w:rPr>
            </w:pPr>
            <w:r>
              <w:rPr>
                <w:sz w:val="18"/>
              </w:rPr>
              <w:t>ES</w:t>
            </w:r>
          </w:p>
        </w:tc>
        <w:tc>
          <w:tcPr>
            <w:tcW w:w="0" w:type="auto"/>
            <w:shd w:val="clear" w:color="auto" w:fill="auto"/>
            <w:vAlign w:val="center"/>
          </w:tcPr>
          <w:p>
            <w:pPr>
              <w:jc w:val="right"/>
              <w:rPr>
                <w:sz w:val="18"/>
              </w:rPr>
            </w:pPr>
            <w:r>
              <w:rPr>
                <w:sz w:val="18"/>
              </w:rPr>
              <w:t xml:space="preserve"> 15,7%</w:t>
            </w:r>
          </w:p>
        </w:tc>
        <w:tc>
          <w:tcPr>
            <w:tcW w:w="0" w:type="auto"/>
            <w:shd w:val="clear" w:color="auto" w:fill="auto"/>
            <w:vAlign w:val="center"/>
          </w:tcPr>
          <w:p>
            <w:pPr>
              <w:jc w:val="right"/>
              <w:rPr>
                <w:sz w:val="18"/>
              </w:rPr>
            </w:pPr>
            <w:r>
              <w:rPr>
                <w:sz w:val="18"/>
              </w:rPr>
              <w:t xml:space="preserve"> 26,2%</w:t>
            </w:r>
          </w:p>
        </w:tc>
        <w:tc>
          <w:tcPr>
            <w:tcW w:w="0" w:type="auto"/>
            <w:shd w:val="clear" w:color="auto" w:fill="auto"/>
            <w:vAlign w:val="center"/>
          </w:tcPr>
          <w:p>
            <w:pPr>
              <w:jc w:val="right"/>
              <w:rPr>
                <w:sz w:val="18"/>
              </w:rPr>
            </w:pPr>
            <w:r>
              <w:rPr>
                <w:sz w:val="18"/>
              </w:rPr>
              <w:t xml:space="preserve"> 20,8%</w:t>
            </w:r>
          </w:p>
        </w:tc>
        <w:tc>
          <w:tcPr>
            <w:tcW w:w="0" w:type="auto"/>
            <w:shd w:val="clear" w:color="auto" w:fill="auto"/>
            <w:vAlign w:val="center"/>
          </w:tcPr>
          <w:p>
            <w:pPr>
              <w:jc w:val="right"/>
              <w:rPr>
                <w:sz w:val="18"/>
              </w:rPr>
            </w:pPr>
            <w:r>
              <w:rPr>
                <w:sz w:val="18"/>
              </w:rPr>
              <w:t xml:space="preserve"> 16,8%</w:t>
            </w:r>
          </w:p>
        </w:tc>
        <w:tc>
          <w:tcPr>
            <w:tcW w:w="0" w:type="auto"/>
            <w:shd w:val="clear" w:color="auto" w:fill="auto"/>
            <w:vAlign w:val="center"/>
          </w:tcPr>
          <w:p>
            <w:pPr>
              <w:jc w:val="right"/>
              <w:rPr>
                <w:sz w:val="18"/>
              </w:rPr>
            </w:pPr>
            <w:r>
              <w:rPr>
                <w:sz w:val="18"/>
              </w:rPr>
              <w:t xml:space="preserve"> 13,8%</w:t>
            </w:r>
          </w:p>
        </w:tc>
        <w:tc>
          <w:tcPr>
            <w:tcW w:w="0" w:type="auto"/>
            <w:shd w:val="clear" w:color="auto" w:fill="auto"/>
            <w:vAlign w:val="center"/>
          </w:tcPr>
          <w:p>
            <w:pPr>
              <w:jc w:val="right"/>
              <w:rPr>
                <w:sz w:val="18"/>
              </w:rPr>
            </w:pPr>
            <w:r>
              <w:rPr>
                <w:sz w:val="18"/>
              </w:rPr>
              <w:t xml:space="preserve">  6,7%</w:t>
            </w:r>
          </w:p>
        </w:tc>
        <w:tc>
          <w:tcPr>
            <w:tcW w:w="0" w:type="auto"/>
            <w:shd w:val="clear" w:color="auto" w:fill="auto"/>
            <w:vAlign w:val="center"/>
          </w:tcPr>
          <w:p>
            <w:pPr>
              <w:jc w:val="right"/>
              <w:rPr>
                <w:sz w:val="18"/>
              </w:rPr>
            </w:pPr>
            <w:r>
              <w:rPr>
                <w:sz w:val="18"/>
              </w:rPr>
              <w:t>1.707</w:t>
            </w:r>
          </w:p>
        </w:tc>
      </w:tr>
      <w:tr>
        <w:trPr>
          <w:trHeight w:hRule="exact" w:val="280"/>
        </w:trPr>
        <w:tc>
          <w:tcPr>
            <w:tcW w:w="0" w:type="auto"/>
            <w:shd w:val="clear" w:color="auto" w:fill="auto"/>
            <w:vAlign w:val="center"/>
          </w:tcPr>
          <w:p>
            <w:pPr>
              <w:jc w:val="left"/>
              <w:rPr>
                <w:sz w:val="18"/>
              </w:rPr>
            </w:pPr>
            <w:r>
              <w:rPr>
                <w:sz w:val="18"/>
              </w:rPr>
              <w:t>FR</w:t>
            </w:r>
          </w:p>
        </w:tc>
        <w:tc>
          <w:tcPr>
            <w:tcW w:w="0" w:type="auto"/>
            <w:shd w:val="clear" w:color="auto" w:fill="auto"/>
            <w:vAlign w:val="center"/>
          </w:tcPr>
          <w:p>
            <w:pPr>
              <w:jc w:val="right"/>
              <w:rPr>
                <w:sz w:val="18"/>
              </w:rPr>
            </w:pPr>
            <w:r>
              <w:rPr>
                <w:sz w:val="18"/>
              </w:rPr>
              <w:t xml:space="preserve">  5,9%</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5,9%</w:t>
            </w:r>
          </w:p>
        </w:tc>
        <w:tc>
          <w:tcPr>
            <w:tcW w:w="0" w:type="auto"/>
            <w:shd w:val="clear" w:color="auto" w:fill="auto"/>
            <w:vAlign w:val="center"/>
          </w:tcPr>
          <w:p>
            <w:pPr>
              <w:jc w:val="right"/>
              <w:rPr>
                <w:sz w:val="18"/>
              </w:rPr>
            </w:pPr>
            <w:r>
              <w:rPr>
                <w:sz w:val="18"/>
              </w:rPr>
              <w:t xml:space="preserve"> 29,4%</w:t>
            </w:r>
          </w:p>
        </w:tc>
        <w:tc>
          <w:tcPr>
            <w:tcW w:w="0" w:type="auto"/>
            <w:shd w:val="clear" w:color="auto" w:fill="auto"/>
            <w:vAlign w:val="center"/>
          </w:tcPr>
          <w:p>
            <w:pPr>
              <w:jc w:val="right"/>
              <w:rPr>
                <w:sz w:val="18"/>
              </w:rPr>
            </w:pPr>
            <w:r>
              <w:rPr>
                <w:sz w:val="18"/>
              </w:rPr>
              <w:t xml:space="preserve"> 35,3%</w:t>
            </w:r>
          </w:p>
        </w:tc>
        <w:tc>
          <w:tcPr>
            <w:tcW w:w="0" w:type="auto"/>
            <w:shd w:val="clear" w:color="auto" w:fill="auto"/>
            <w:vAlign w:val="center"/>
          </w:tcPr>
          <w:p>
            <w:pPr>
              <w:jc w:val="right"/>
              <w:rPr>
                <w:sz w:val="18"/>
              </w:rPr>
            </w:pPr>
            <w:r>
              <w:rPr>
                <w:sz w:val="18"/>
              </w:rPr>
              <w:t xml:space="preserve"> 23,5%</w:t>
            </w:r>
          </w:p>
        </w:tc>
        <w:tc>
          <w:tcPr>
            <w:tcW w:w="0" w:type="auto"/>
            <w:shd w:val="clear" w:color="auto" w:fill="auto"/>
            <w:vAlign w:val="center"/>
          </w:tcPr>
          <w:p>
            <w:pPr>
              <w:jc w:val="right"/>
              <w:rPr>
                <w:sz w:val="18"/>
              </w:rPr>
            </w:pPr>
            <w:r>
              <w:rPr>
                <w:sz w:val="18"/>
              </w:rPr>
              <w:t>17</w:t>
            </w:r>
          </w:p>
        </w:tc>
      </w:tr>
      <w:tr>
        <w:trPr>
          <w:trHeight w:hRule="exact" w:val="280"/>
        </w:trPr>
        <w:tc>
          <w:tcPr>
            <w:tcW w:w="0" w:type="auto"/>
            <w:shd w:val="clear" w:color="auto" w:fill="auto"/>
            <w:vAlign w:val="center"/>
          </w:tcPr>
          <w:p>
            <w:pPr>
              <w:jc w:val="left"/>
              <w:rPr>
                <w:sz w:val="18"/>
              </w:rPr>
            </w:pPr>
            <w:r>
              <w:rPr>
                <w:sz w:val="18"/>
              </w:rPr>
              <w:t>IT</w:t>
            </w:r>
          </w:p>
        </w:tc>
        <w:tc>
          <w:tcPr>
            <w:tcW w:w="0" w:type="auto"/>
            <w:shd w:val="clear" w:color="auto" w:fill="auto"/>
            <w:vAlign w:val="center"/>
          </w:tcPr>
          <w:p>
            <w:pPr>
              <w:jc w:val="right"/>
              <w:rPr>
                <w:sz w:val="18"/>
              </w:rPr>
            </w:pPr>
            <w:r>
              <w:rPr>
                <w:sz w:val="18"/>
              </w:rPr>
              <w:t xml:space="preserve"> 13,7%</w:t>
            </w:r>
          </w:p>
        </w:tc>
        <w:tc>
          <w:tcPr>
            <w:tcW w:w="0" w:type="auto"/>
            <w:shd w:val="clear" w:color="auto" w:fill="auto"/>
            <w:vAlign w:val="center"/>
          </w:tcPr>
          <w:p>
            <w:pPr>
              <w:jc w:val="right"/>
              <w:rPr>
                <w:sz w:val="18"/>
              </w:rPr>
            </w:pPr>
            <w:r>
              <w:rPr>
                <w:sz w:val="18"/>
              </w:rPr>
              <w:t xml:space="preserve"> 19,8%</w:t>
            </w:r>
          </w:p>
        </w:tc>
        <w:tc>
          <w:tcPr>
            <w:tcW w:w="0" w:type="auto"/>
            <w:shd w:val="clear" w:color="auto" w:fill="auto"/>
            <w:vAlign w:val="center"/>
          </w:tcPr>
          <w:p>
            <w:pPr>
              <w:jc w:val="right"/>
              <w:rPr>
                <w:sz w:val="18"/>
              </w:rPr>
            </w:pPr>
            <w:r>
              <w:rPr>
                <w:sz w:val="18"/>
              </w:rPr>
              <w:t xml:space="preserve"> 21,7%</w:t>
            </w:r>
          </w:p>
        </w:tc>
        <w:tc>
          <w:tcPr>
            <w:tcW w:w="0" w:type="auto"/>
            <w:shd w:val="clear" w:color="auto" w:fill="auto"/>
            <w:vAlign w:val="center"/>
          </w:tcPr>
          <w:p>
            <w:pPr>
              <w:jc w:val="right"/>
              <w:rPr>
                <w:sz w:val="18"/>
              </w:rPr>
            </w:pPr>
            <w:r>
              <w:rPr>
                <w:sz w:val="18"/>
              </w:rPr>
              <w:t xml:space="preserve"> 16,2%</w:t>
            </w:r>
          </w:p>
        </w:tc>
        <w:tc>
          <w:tcPr>
            <w:tcW w:w="0" w:type="auto"/>
            <w:shd w:val="clear" w:color="auto" w:fill="auto"/>
            <w:vAlign w:val="center"/>
          </w:tcPr>
          <w:p>
            <w:pPr>
              <w:jc w:val="right"/>
              <w:rPr>
                <w:sz w:val="18"/>
              </w:rPr>
            </w:pPr>
            <w:r>
              <w:rPr>
                <w:sz w:val="18"/>
              </w:rPr>
              <w:t xml:space="preserve"> 21,0%</w:t>
            </w:r>
          </w:p>
        </w:tc>
        <w:tc>
          <w:tcPr>
            <w:tcW w:w="0" w:type="auto"/>
            <w:shd w:val="clear" w:color="auto" w:fill="auto"/>
            <w:vAlign w:val="center"/>
          </w:tcPr>
          <w:p>
            <w:pPr>
              <w:jc w:val="right"/>
              <w:rPr>
                <w:sz w:val="18"/>
              </w:rPr>
            </w:pPr>
            <w:r>
              <w:rPr>
                <w:sz w:val="18"/>
              </w:rPr>
              <w:t xml:space="preserve">  7,7%</w:t>
            </w:r>
          </w:p>
        </w:tc>
        <w:tc>
          <w:tcPr>
            <w:tcW w:w="0" w:type="auto"/>
            <w:shd w:val="clear" w:color="auto" w:fill="auto"/>
            <w:vAlign w:val="center"/>
          </w:tcPr>
          <w:p>
            <w:pPr>
              <w:jc w:val="right"/>
              <w:rPr>
                <w:sz w:val="18"/>
              </w:rPr>
            </w:pPr>
            <w:r>
              <w:rPr>
                <w:sz w:val="18"/>
              </w:rPr>
              <w:t>520</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NL</w:t>
            </w:r>
          </w:p>
        </w:tc>
        <w:tc>
          <w:tcPr>
            <w:tcW w:w="0" w:type="auto"/>
            <w:tcBorders>
              <w:bottom w:val="single" w:sz="4" w:space="0" w:color="auto"/>
            </w:tcBorders>
            <w:shd w:val="clear" w:color="auto" w:fill="auto"/>
            <w:vAlign w:val="center"/>
          </w:tcPr>
          <w:p>
            <w:pPr>
              <w:jc w:val="right"/>
              <w:rPr>
                <w:sz w:val="18"/>
              </w:rPr>
            </w:pPr>
            <w:r>
              <w:rPr>
                <w:sz w:val="18"/>
              </w:rPr>
              <w:t xml:space="preserve">  3,2%</w:t>
            </w:r>
          </w:p>
        </w:tc>
        <w:tc>
          <w:tcPr>
            <w:tcW w:w="0" w:type="auto"/>
            <w:tcBorders>
              <w:bottom w:val="single" w:sz="4" w:space="0" w:color="auto"/>
            </w:tcBorders>
            <w:shd w:val="clear" w:color="auto" w:fill="auto"/>
            <w:vAlign w:val="center"/>
          </w:tcPr>
          <w:p>
            <w:pPr>
              <w:jc w:val="right"/>
              <w:rPr>
                <w:sz w:val="18"/>
              </w:rPr>
            </w:pPr>
            <w:r>
              <w:rPr>
                <w:sz w:val="18"/>
              </w:rPr>
              <w:t xml:space="preserve">  6,9%</w:t>
            </w:r>
          </w:p>
        </w:tc>
        <w:tc>
          <w:tcPr>
            <w:tcW w:w="0" w:type="auto"/>
            <w:tcBorders>
              <w:bottom w:val="single" w:sz="4" w:space="0" w:color="auto"/>
            </w:tcBorders>
            <w:shd w:val="clear" w:color="auto" w:fill="auto"/>
            <w:vAlign w:val="center"/>
          </w:tcPr>
          <w:p>
            <w:pPr>
              <w:jc w:val="right"/>
              <w:rPr>
                <w:sz w:val="18"/>
              </w:rPr>
            </w:pPr>
            <w:r>
              <w:rPr>
                <w:sz w:val="18"/>
              </w:rPr>
              <w:t xml:space="preserve"> 16,9%</w:t>
            </w:r>
          </w:p>
        </w:tc>
        <w:tc>
          <w:tcPr>
            <w:tcW w:w="0" w:type="auto"/>
            <w:tcBorders>
              <w:bottom w:val="single" w:sz="4" w:space="0" w:color="auto"/>
            </w:tcBorders>
            <w:shd w:val="clear" w:color="auto" w:fill="auto"/>
            <w:vAlign w:val="center"/>
          </w:tcPr>
          <w:p>
            <w:pPr>
              <w:jc w:val="right"/>
              <w:rPr>
                <w:sz w:val="18"/>
              </w:rPr>
            </w:pPr>
            <w:r>
              <w:rPr>
                <w:sz w:val="18"/>
              </w:rPr>
              <w:t xml:space="preserve"> 31,7%</w:t>
            </w:r>
          </w:p>
        </w:tc>
        <w:tc>
          <w:tcPr>
            <w:tcW w:w="0" w:type="auto"/>
            <w:tcBorders>
              <w:bottom w:val="single" w:sz="4" w:space="0" w:color="auto"/>
            </w:tcBorders>
            <w:shd w:val="clear" w:color="auto" w:fill="auto"/>
            <w:vAlign w:val="center"/>
          </w:tcPr>
          <w:p>
            <w:pPr>
              <w:jc w:val="right"/>
              <w:rPr>
                <w:sz w:val="18"/>
              </w:rPr>
            </w:pPr>
            <w:r>
              <w:rPr>
                <w:sz w:val="18"/>
              </w:rPr>
              <w:t xml:space="preserve"> 23,8%</w:t>
            </w:r>
          </w:p>
        </w:tc>
        <w:tc>
          <w:tcPr>
            <w:tcW w:w="0" w:type="auto"/>
            <w:tcBorders>
              <w:bottom w:val="single" w:sz="4" w:space="0" w:color="auto"/>
            </w:tcBorders>
            <w:shd w:val="clear" w:color="auto" w:fill="auto"/>
            <w:vAlign w:val="center"/>
          </w:tcPr>
          <w:p>
            <w:pPr>
              <w:jc w:val="right"/>
              <w:rPr>
                <w:sz w:val="18"/>
              </w:rPr>
            </w:pPr>
            <w:r>
              <w:rPr>
                <w:sz w:val="18"/>
              </w:rPr>
              <w:t xml:space="preserve"> 17,5%</w:t>
            </w:r>
          </w:p>
        </w:tc>
        <w:tc>
          <w:tcPr>
            <w:tcW w:w="0" w:type="auto"/>
            <w:tcBorders>
              <w:bottom w:val="single" w:sz="4" w:space="0" w:color="auto"/>
            </w:tcBorders>
            <w:shd w:val="clear" w:color="auto" w:fill="auto"/>
            <w:vAlign w:val="center"/>
          </w:tcPr>
          <w:p>
            <w:pPr>
              <w:jc w:val="right"/>
              <w:rPr>
                <w:sz w:val="18"/>
              </w:rPr>
            </w:pPr>
            <w:r>
              <w:rPr>
                <w:sz w:val="18"/>
              </w:rPr>
              <w:t>189</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CS</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100,0%</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1</w:t>
            </w:r>
          </w:p>
        </w:tc>
      </w:tr>
      <w:tr>
        <w:trPr>
          <w:trHeight w:hRule="exact" w:val="280"/>
        </w:trPr>
        <w:tc>
          <w:tcPr>
            <w:tcW w:w="0" w:type="auto"/>
            <w:shd w:val="clear" w:color="auto" w:fill="auto"/>
            <w:vAlign w:val="center"/>
          </w:tcPr>
          <w:p>
            <w:pPr>
              <w:jc w:val="left"/>
              <w:rPr>
                <w:sz w:val="18"/>
              </w:rPr>
            </w:pPr>
            <w:r>
              <w:rPr>
                <w:sz w:val="18"/>
              </w:rPr>
              <w:t>DA</w:t>
            </w:r>
          </w:p>
        </w:tc>
        <w:tc>
          <w:tcPr>
            <w:tcW w:w="0" w:type="auto"/>
            <w:shd w:val="clear" w:color="auto" w:fill="auto"/>
            <w:vAlign w:val="center"/>
          </w:tcPr>
          <w:p>
            <w:pPr>
              <w:jc w:val="right"/>
              <w:rPr>
                <w:sz w:val="18"/>
              </w:rPr>
            </w:pPr>
            <w:r>
              <w:rPr>
                <w:sz w:val="18"/>
              </w:rPr>
              <w:t xml:space="preserve"> 25,0%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25,0%</w:t>
            </w:r>
          </w:p>
        </w:tc>
        <w:tc>
          <w:tcPr>
            <w:tcW w:w="0" w:type="auto"/>
            <w:shd w:val="clear" w:color="auto" w:fill="auto"/>
            <w:vAlign w:val="center"/>
          </w:tcPr>
          <w:p>
            <w:pPr>
              <w:jc w:val="right"/>
              <w:rPr>
                <w:sz w:val="18"/>
              </w:rPr>
            </w:pPr>
            <w:r>
              <w:rPr>
                <w:sz w:val="18"/>
              </w:rPr>
              <w:t xml:space="preserve"> 25,0%</w:t>
            </w:r>
          </w:p>
        </w:tc>
        <w:tc>
          <w:tcPr>
            <w:tcW w:w="0" w:type="auto"/>
            <w:shd w:val="clear" w:color="auto" w:fill="auto"/>
            <w:vAlign w:val="center"/>
          </w:tcPr>
          <w:p>
            <w:pPr>
              <w:jc w:val="right"/>
              <w:rPr>
                <w:sz w:val="18"/>
              </w:rPr>
            </w:pPr>
            <w:r>
              <w:rPr>
                <w:sz w:val="18"/>
              </w:rPr>
              <w:t xml:space="preserve"> 25,0%</w:t>
            </w:r>
          </w:p>
        </w:tc>
        <w:tc>
          <w:tcPr>
            <w:tcW w:w="0" w:type="auto"/>
            <w:shd w:val="clear" w:color="auto" w:fill="auto"/>
            <w:vAlign w:val="center"/>
          </w:tcPr>
          <w:p>
            <w:pPr>
              <w:jc w:val="right"/>
              <w:rPr>
                <w:sz w:val="18"/>
              </w:rPr>
            </w:pPr>
            <w:r>
              <w:rPr>
                <w:sz w:val="18"/>
              </w:rPr>
              <w:t>4</w:t>
            </w:r>
          </w:p>
        </w:tc>
      </w:tr>
      <w:tr>
        <w:trPr>
          <w:trHeight w:hRule="exact" w:val="280"/>
        </w:trPr>
        <w:tc>
          <w:tcPr>
            <w:tcW w:w="0" w:type="auto"/>
            <w:shd w:val="clear" w:color="auto" w:fill="auto"/>
            <w:vAlign w:val="center"/>
          </w:tcPr>
          <w:p>
            <w:pPr>
              <w:jc w:val="left"/>
              <w:rPr>
                <w:sz w:val="18"/>
              </w:rPr>
            </w:pPr>
            <w:r>
              <w:rPr>
                <w:sz w:val="18"/>
              </w:rPr>
              <w:t>EL</w:t>
            </w:r>
          </w:p>
        </w:tc>
        <w:tc>
          <w:tcPr>
            <w:tcW w:w="0" w:type="auto"/>
            <w:shd w:val="clear" w:color="auto" w:fill="auto"/>
            <w:vAlign w:val="center"/>
          </w:tcPr>
          <w:p>
            <w:pPr>
              <w:jc w:val="right"/>
              <w:rPr>
                <w:sz w:val="18"/>
              </w:rPr>
            </w:pPr>
            <w:r>
              <w:rPr>
                <w:sz w:val="18"/>
              </w:rPr>
              <w:t xml:space="preserve"> 33,3%</w:t>
            </w:r>
          </w:p>
        </w:tc>
        <w:tc>
          <w:tcPr>
            <w:tcW w:w="0" w:type="auto"/>
            <w:shd w:val="clear" w:color="auto" w:fill="auto"/>
            <w:vAlign w:val="center"/>
          </w:tcPr>
          <w:p>
            <w:pPr>
              <w:jc w:val="right"/>
              <w:rPr>
                <w:sz w:val="18"/>
              </w:rPr>
            </w:pPr>
            <w:r>
              <w:rPr>
                <w:sz w:val="18"/>
              </w:rPr>
              <w:t xml:space="preserve"> 66,7%</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3</w:t>
            </w:r>
          </w:p>
        </w:tc>
      </w:tr>
      <w:tr>
        <w:trPr>
          <w:trHeight w:hRule="exact" w:val="280"/>
        </w:trPr>
        <w:tc>
          <w:tcPr>
            <w:tcW w:w="0" w:type="auto"/>
            <w:shd w:val="clear" w:color="auto" w:fill="auto"/>
            <w:vAlign w:val="center"/>
          </w:tcPr>
          <w:p>
            <w:pPr>
              <w:jc w:val="left"/>
              <w:rPr>
                <w:sz w:val="18"/>
              </w:rPr>
            </w:pPr>
            <w:r>
              <w:rPr>
                <w:sz w:val="18"/>
              </w:rPr>
              <w:t>PL</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100,0%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1</w:t>
            </w:r>
          </w:p>
        </w:tc>
      </w:tr>
      <w:tr>
        <w:trPr>
          <w:trHeight w:hRule="exact" w:val="280"/>
        </w:trPr>
        <w:tc>
          <w:tcPr>
            <w:tcW w:w="0" w:type="auto"/>
            <w:shd w:val="clear" w:color="auto" w:fill="auto"/>
            <w:vAlign w:val="center"/>
          </w:tcPr>
          <w:p>
            <w:pPr>
              <w:jc w:val="left"/>
              <w:rPr>
                <w:sz w:val="18"/>
              </w:rPr>
            </w:pPr>
            <w:r>
              <w:rPr>
                <w:sz w:val="18"/>
              </w:rPr>
              <w:t>PT</w:t>
            </w:r>
          </w:p>
        </w:tc>
        <w:tc>
          <w:tcPr>
            <w:tcW w:w="0" w:type="auto"/>
            <w:shd w:val="clear" w:color="auto" w:fill="auto"/>
            <w:vAlign w:val="center"/>
          </w:tcPr>
          <w:p>
            <w:pPr>
              <w:jc w:val="right"/>
              <w:rPr>
                <w:sz w:val="18"/>
              </w:rPr>
            </w:pPr>
            <w:r>
              <w:rPr>
                <w:sz w:val="18"/>
              </w:rPr>
              <w:t xml:space="preserve"> 66,7%</w:t>
            </w:r>
          </w:p>
        </w:tc>
        <w:tc>
          <w:tcPr>
            <w:tcW w:w="0" w:type="auto"/>
            <w:shd w:val="clear" w:color="auto" w:fill="auto"/>
            <w:vAlign w:val="center"/>
          </w:tcPr>
          <w:p>
            <w:pPr>
              <w:jc w:val="right"/>
              <w:rPr>
                <w:sz w:val="18"/>
              </w:rPr>
            </w:pPr>
            <w:r>
              <w:rPr>
                <w:sz w:val="18"/>
              </w:rPr>
              <w:t xml:space="preserve"> 12,1%</w:t>
            </w:r>
          </w:p>
        </w:tc>
        <w:tc>
          <w:tcPr>
            <w:tcW w:w="0" w:type="auto"/>
            <w:shd w:val="clear" w:color="auto" w:fill="auto"/>
            <w:vAlign w:val="center"/>
          </w:tcPr>
          <w:p>
            <w:pPr>
              <w:jc w:val="right"/>
              <w:rPr>
                <w:sz w:val="18"/>
              </w:rPr>
            </w:pPr>
            <w:r>
              <w:rPr>
                <w:sz w:val="18"/>
              </w:rPr>
              <w:t xml:space="preserve">  9,1%</w:t>
            </w:r>
          </w:p>
        </w:tc>
        <w:tc>
          <w:tcPr>
            <w:tcW w:w="0" w:type="auto"/>
            <w:shd w:val="clear" w:color="auto" w:fill="auto"/>
            <w:vAlign w:val="center"/>
          </w:tcPr>
          <w:p>
            <w:pPr>
              <w:jc w:val="right"/>
              <w:rPr>
                <w:sz w:val="18"/>
              </w:rPr>
            </w:pPr>
            <w:r>
              <w:rPr>
                <w:sz w:val="18"/>
              </w:rPr>
              <w:t xml:space="preserve">  3,0%</w:t>
            </w:r>
          </w:p>
        </w:tc>
        <w:tc>
          <w:tcPr>
            <w:tcW w:w="0" w:type="auto"/>
            <w:shd w:val="clear" w:color="auto" w:fill="auto"/>
            <w:vAlign w:val="center"/>
          </w:tcPr>
          <w:p>
            <w:pPr>
              <w:jc w:val="right"/>
              <w:rPr>
                <w:sz w:val="18"/>
              </w:rPr>
            </w:pPr>
            <w:r>
              <w:rPr>
                <w:sz w:val="18"/>
              </w:rPr>
              <w:t xml:space="preserve">  3,0%</w:t>
            </w:r>
          </w:p>
        </w:tc>
        <w:tc>
          <w:tcPr>
            <w:tcW w:w="0" w:type="auto"/>
            <w:shd w:val="clear" w:color="auto" w:fill="auto"/>
            <w:vAlign w:val="center"/>
          </w:tcPr>
          <w:p>
            <w:pPr>
              <w:jc w:val="right"/>
              <w:rPr>
                <w:sz w:val="18"/>
              </w:rPr>
            </w:pPr>
            <w:r>
              <w:rPr>
                <w:sz w:val="18"/>
              </w:rPr>
              <w:t xml:space="preserve">  6,1%</w:t>
            </w:r>
          </w:p>
        </w:tc>
        <w:tc>
          <w:tcPr>
            <w:tcW w:w="0" w:type="auto"/>
            <w:shd w:val="clear" w:color="auto" w:fill="auto"/>
            <w:vAlign w:val="center"/>
          </w:tcPr>
          <w:p>
            <w:pPr>
              <w:jc w:val="right"/>
              <w:rPr>
                <w:sz w:val="18"/>
              </w:rPr>
            </w:pPr>
            <w:r>
              <w:rPr>
                <w:sz w:val="18"/>
              </w:rPr>
              <w:t>33</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SV</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100,0%</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1</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 xml:space="preserve">Total  LA1 </w:t>
            </w:r>
            <w:r>
              <w:rPr>
                <w:sz w:val="18"/>
              </w:rPr>
              <w:br/>
              <w:t>per CEFR level</w:t>
            </w:r>
          </w:p>
        </w:tc>
        <w:tc>
          <w:tcPr>
            <w:tcW w:w="0" w:type="auto"/>
            <w:tcBorders>
              <w:top w:val="single" w:sz="4" w:space="0" w:color="auto"/>
            </w:tcBorders>
            <w:shd w:val="clear" w:color="auto" w:fill="auto"/>
            <w:vAlign w:val="center"/>
          </w:tcPr>
          <w:p>
            <w:pPr>
              <w:jc w:val="right"/>
              <w:rPr>
                <w:sz w:val="18"/>
              </w:rPr>
            </w:pPr>
            <w:r>
              <w:rPr>
                <w:sz w:val="18"/>
              </w:rPr>
              <w:t>417</w:t>
            </w:r>
          </w:p>
        </w:tc>
        <w:tc>
          <w:tcPr>
            <w:tcW w:w="0" w:type="auto"/>
            <w:tcBorders>
              <w:top w:val="single" w:sz="4" w:space="0" w:color="auto"/>
            </w:tcBorders>
            <w:shd w:val="clear" w:color="auto" w:fill="auto"/>
            <w:vAlign w:val="center"/>
          </w:tcPr>
          <w:p>
            <w:pPr>
              <w:jc w:val="right"/>
              <w:rPr>
                <w:sz w:val="18"/>
              </w:rPr>
            </w:pPr>
            <w:r>
              <w:rPr>
                <w:sz w:val="18"/>
              </w:rPr>
              <w:t>781</w:t>
            </w:r>
          </w:p>
        </w:tc>
        <w:tc>
          <w:tcPr>
            <w:tcW w:w="0" w:type="auto"/>
            <w:tcBorders>
              <w:top w:val="single" w:sz="4" w:space="0" w:color="auto"/>
            </w:tcBorders>
            <w:shd w:val="clear" w:color="auto" w:fill="auto"/>
            <w:vAlign w:val="center"/>
          </w:tcPr>
          <w:p>
            <w:pPr>
              <w:jc w:val="right"/>
              <w:rPr>
                <w:sz w:val="18"/>
              </w:rPr>
            </w:pPr>
            <w:r>
              <w:rPr>
                <w:sz w:val="18"/>
              </w:rPr>
              <w:t>1.386</w:t>
            </w:r>
          </w:p>
        </w:tc>
        <w:tc>
          <w:tcPr>
            <w:tcW w:w="0" w:type="auto"/>
            <w:tcBorders>
              <w:top w:val="single" w:sz="4" w:space="0" w:color="auto"/>
            </w:tcBorders>
            <w:shd w:val="clear" w:color="auto" w:fill="auto"/>
            <w:vAlign w:val="center"/>
          </w:tcPr>
          <w:p>
            <w:pPr>
              <w:jc w:val="right"/>
              <w:rPr>
                <w:sz w:val="18"/>
              </w:rPr>
            </w:pPr>
            <w:r>
              <w:rPr>
                <w:sz w:val="18"/>
              </w:rPr>
              <w:t>2.055</w:t>
            </w:r>
          </w:p>
        </w:tc>
        <w:tc>
          <w:tcPr>
            <w:tcW w:w="0" w:type="auto"/>
            <w:tcBorders>
              <w:top w:val="single" w:sz="4" w:space="0" w:color="auto"/>
            </w:tcBorders>
            <w:shd w:val="clear" w:color="auto" w:fill="auto"/>
            <w:vAlign w:val="center"/>
          </w:tcPr>
          <w:p>
            <w:pPr>
              <w:jc w:val="right"/>
              <w:rPr>
                <w:sz w:val="18"/>
              </w:rPr>
            </w:pPr>
            <w:r>
              <w:rPr>
                <w:sz w:val="18"/>
              </w:rPr>
              <w:t>1.823</w:t>
            </w:r>
          </w:p>
        </w:tc>
        <w:tc>
          <w:tcPr>
            <w:tcW w:w="0" w:type="auto"/>
            <w:tcBorders>
              <w:top w:val="single" w:sz="4" w:space="0" w:color="auto"/>
            </w:tcBorders>
            <w:shd w:val="clear" w:color="auto" w:fill="auto"/>
            <w:vAlign w:val="center"/>
          </w:tcPr>
          <w:p>
            <w:pPr>
              <w:jc w:val="right"/>
              <w:rPr>
                <w:sz w:val="18"/>
              </w:rPr>
            </w:pPr>
            <w:r>
              <w:rPr>
                <w:sz w:val="18"/>
              </w:rPr>
              <w:t>1.153</w:t>
            </w:r>
          </w:p>
        </w:tc>
        <w:tc>
          <w:tcPr>
            <w:tcW w:w="0" w:type="auto"/>
            <w:tcBorders>
              <w:top w:val="single" w:sz="4" w:space="0" w:color="auto"/>
            </w:tcBorders>
            <w:shd w:val="clear" w:color="auto" w:fill="auto"/>
            <w:vAlign w:val="center"/>
          </w:tcPr>
          <w:p>
            <w:pPr>
              <w:jc w:val="right"/>
              <w:rPr>
                <w:sz w:val="18"/>
              </w:rPr>
            </w:pPr>
            <w:r>
              <w:rPr>
                <w:sz w:val="18"/>
              </w:rPr>
              <w:t>7.615</w:t>
            </w:r>
          </w:p>
        </w:tc>
      </w:tr>
      <w:bookmarkEnd w:id="20"/>
    </w:tbl>
    <w:p/>
    <w:p>
      <w:pPr>
        <w:pStyle w:val="Lgende"/>
        <w:keepNext/>
      </w:pPr>
      <w:r>
        <w:t xml:space="preserve">Figure </w:t>
      </w:r>
      <w:fldSimple w:instr=" SEQ Figure \* ARABIC ">
        <w:r>
          <w:rPr>
            <w:noProof/>
          </w:rPr>
          <w:t>3</w:t>
        </w:r>
      </w:fldSimple>
      <w:r>
        <w:t>. Distribution of CEFR levels of completed language assessment 1</w:t>
      </w:r>
      <w:bookmarkStart w:id="21" w:name="InlineShape4"/>
      <w:bookmarkEnd w:id="21"/>
    </w:p>
    <w:p>
      <w:r>
        <w:rPr>
          <w:noProof/>
          <w:lang w:val="fr-BE" w:eastAsia="fr-BE"/>
        </w:rPr>
        <w:drawing>
          <wp:inline distT="0" distB="0" distL="0" distR="0">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pPr>
        <w:rPr>
          <w:i/>
        </w:rPr>
      </w:pPr>
      <w:r>
        <w:rPr>
          <w:i/>
        </w:rPr>
        <w:t>NB: columns represent 100% of completed language assessments 1 per language.</w:t>
      </w:r>
    </w:p>
    <w:p>
      <w:pPr>
        <w:rPr>
          <w:i/>
        </w:rPr>
        <w:sectPr>
          <w:type w:val="continuous"/>
          <w:pgSz w:w="11907" w:h="16839" w:code="9"/>
          <w:pgMar w:top="1440" w:right="1440" w:bottom="1440" w:left="1440" w:header="709" w:footer="709" w:gutter="0"/>
          <w:cols w:space="708"/>
          <w:docGrid w:linePitch="360"/>
        </w:sectPr>
      </w:pPr>
    </w:p>
    <w:p>
      <w:pPr>
        <w:pStyle w:val="Titre2"/>
      </w:pPr>
      <w:bookmarkStart w:id="22" w:name="subsec____OLS_Results_for_the_Second_Lan"/>
      <w:bookmarkStart w:id="23" w:name="_Toc476736933"/>
      <w:bookmarkEnd w:id="22"/>
      <w:r>
        <w:lastRenderedPageBreak/>
        <w:t>2. OLS Results for the Second Language Assessment</w:t>
      </w:r>
      <w:bookmarkEnd w:id="23"/>
    </w:p>
    <w:p>
      <w:pPr>
        <w:pStyle w:val="Corpsdetexte"/>
      </w:pPr>
      <w:r>
        <w:t>This table/graph gives on overview of  participants' results on completed language assessment 2 per language and per CEFR level.</w:t>
      </w:r>
    </w:p>
    <w:p>
      <w:pPr>
        <w:pStyle w:val="Lgende"/>
        <w:keepNext/>
      </w:pPr>
      <w:r>
        <w:t xml:space="preserve">Table </w:t>
      </w:r>
      <w:fldSimple w:instr=" SEQ Table \* ARABIC ">
        <w:r>
          <w:rPr>
            <w:noProof/>
          </w:rPr>
          <w:t>6</w:t>
        </w:r>
      </w:fldSimple>
      <w:r>
        <w:t>.  participants' results of language assessment 2 per language per CEFR level</w:t>
      </w:r>
    </w:p>
    <w:tbl>
      <w:tblPr>
        <w:tblW w:w="0" w:type="auto"/>
        <w:tblCellMar>
          <w:left w:w="100" w:type="dxa"/>
          <w:right w:w="100" w:type="dxa"/>
        </w:tblCellMar>
        <w:tblLook w:val="0000" w:firstRow="0" w:lastRow="0" w:firstColumn="0" w:lastColumn="0" w:noHBand="0" w:noVBand="0"/>
      </w:tblPr>
      <w:tblGrid>
        <w:gridCol w:w="1236"/>
        <w:gridCol w:w="688"/>
        <w:gridCol w:w="739"/>
        <w:gridCol w:w="739"/>
        <w:gridCol w:w="688"/>
        <w:gridCol w:w="688"/>
        <w:gridCol w:w="688"/>
        <w:gridCol w:w="1873"/>
      </w:tblGrid>
      <w:tr>
        <w:tc>
          <w:tcPr>
            <w:tcW w:w="0" w:type="auto"/>
            <w:tcBorders>
              <w:bottom w:val="single" w:sz="4" w:space="0" w:color="auto"/>
            </w:tcBorders>
            <w:shd w:val="clear" w:color="auto" w:fill="auto"/>
            <w:vAlign w:val="center"/>
          </w:tcPr>
          <w:p>
            <w:pPr>
              <w:jc w:val="left"/>
              <w:rPr>
                <w:sz w:val="18"/>
              </w:rPr>
            </w:pPr>
            <w:bookmarkStart w:id="24" w:name="Table18"/>
          </w:p>
        </w:tc>
        <w:tc>
          <w:tcPr>
            <w:tcW w:w="0" w:type="auto"/>
            <w:tcBorders>
              <w:bottom w:val="single" w:sz="4" w:space="0" w:color="auto"/>
            </w:tcBorders>
            <w:shd w:val="clear" w:color="auto" w:fill="auto"/>
            <w:vAlign w:val="center"/>
          </w:tcPr>
          <w:p>
            <w:pPr>
              <w:jc w:val="right"/>
              <w:rPr>
                <w:sz w:val="18"/>
              </w:rPr>
            </w:pPr>
            <w:r>
              <w:rPr>
                <w:sz w:val="18"/>
              </w:rPr>
              <w:t>A1</w:t>
            </w:r>
          </w:p>
        </w:tc>
        <w:tc>
          <w:tcPr>
            <w:tcW w:w="0" w:type="auto"/>
            <w:tcBorders>
              <w:bottom w:val="single" w:sz="4" w:space="0" w:color="auto"/>
            </w:tcBorders>
            <w:shd w:val="clear" w:color="auto" w:fill="auto"/>
            <w:vAlign w:val="center"/>
          </w:tcPr>
          <w:p>
            <w:pPr>
              <w:jc w:val="right"/>
              <w:rPr>
                <w:sz w:val="18"/>
              </w:rPr>
            </w:pPr>
            <w:r>
              <w:rPr>
                <w:sz w:val="18"/>
              </w:rPr>
              <w:t>A2</w:t>
            </w:r>
          </w:p>
        </w:tc>
        <w:tc>
          <w:tcPr>
            <w:tcW w:w="0" w:type="auto"/>
            <w:tcBorders>
              <w:bottom w:val="single" w:sz="4" w:space="0" w:color="auto"/>
            </w:tcBorders>
            <w:shd w:val="clear" w:color="auto" w:fill="auto"/>
            <w:vAlign w:val="center"/>
          </w:tcPr>
          <w:p>
            <w:pPr>
              <w:jc w:val="right"/>
              <w:rPr>
                <w:sz w:val="18"/>
              </w:rPr>
            </w:pPr>
            <w:r>
              <w:rPr>
                <w:sz w:val="18"/>
              </w:rPr>
              <w:t>B1</w:t>
            </w:r>
          </w:p>
        </w:tc>
        <w:tc>
          <w:tcPr>
            <w:tcW w:w="0" w:type="auto"/>
            <w:tcBorders>
              <w:bottom w:val="single" w:sz="4" w:space="0" w:color="auto"/>
            </w:tcBorders>
            <w:shd w:val="clear" w:color="auto" w:fill="auto"/>
            <w:vAlign w:val="center"/>
          </w:tcPr>
          <w:p>
            <w:pPr>
              <w:jc w:val="right"/>
              <w:rPr>
                <w:sz w:val="18"/>
              </w:rPr>
            </w:pPr>
            <w:r>
              <w:rPr>
                <w:sz w:val="18"/>
              </w:rPr>
              <w:t>B2</w:t>
            </w:r>
          </w:p>
        </w:tc>
        <w:tc>
          <w:tcPr>
            <w:tcW w:w="0" w:type="auto"/>
            <w:tcBorders>
              <w:bottom w:val="single" w:sz="4" w:space="0" w:color="auto"/>
            </w:tcBorders>
            <w:shd w:val="clear" w:color="auto" w:fill="auto"/>
            <w:vAlign w:val="center"/>
          </w:tcPr>
          <w:p>
            <w:pPr>
              <w:jc w:val="right"/>
              <w:rPr>
                <w:sz w:val="18"/>
              </w:rPr>
            </w:pPr>
            <w:r>
              <w:rPr>
                <w:sz w:val="18"/>
              </w:rPr>
              <w:t>C1</w:t>
            </w:r>
          </w:p>
        </w:tc>
        <w:tc>
          <w:tcPr>
            <w:tcW w:w="0" w:type="auto"/>
            <w:tcBorders>
              <w:bottom w:val="single" w:sz="4" w:space="0" w:color="auto"/>
            </w:tcBorders>
            <w:shd w:val="clear" w:color="auto" w:fill="auto"/>
            <w:vAlign w:val="center"/>
          </w:tcPr>
          <w:p>
            <w:pPr>
              <w:jc w:val="right"/>
              <w:rPr>
                <w:sz w:val="18"/>
              </w:rPr>
            </w:pPr>
            <w:r>
              <w:rPr>
                <w:sz w:val="18"/>
              </w:rPr>
              <w:t>C2</w:t>
            </w:r>
          </w:p>
        </w:tc>
        <w:tc>
          <w:tcPr>
            <w:tcW w:w="0" w:type="auto"/>
            <w:tcBorders>
              <w:bottom w:val="single" w:sz="4" w:space="0" w:color="auto"/>
            </w:tcBorders>
            <w:shd w:val="clear" w:color="auto" w:fill="auto"/>
            <w:vAlign w:val="center"/>
          </w:tcPr>
          <w:p>
            <w:pPr>
              <w:jc w:val="right"/>
              <w:rPr>
                <w:sz w:val="18"/>
              </w:rPr>
            </w:pPr>
            <w:r>
              <w:rPr>
                <w:sz w:val="18"/>
              </w:rPr>
              <w:t>Total LA2 per language</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DE</w:t>
            </w:r>
          </w:p>
        </w:tc>
        <w:tc>
          <w:tcPr>
            <w:tcW w:w="0" w:type="auto"/>
            <w:tcBorders>
              <w:top w:val="single" w:sz="4" w:space="0" w:color="auto"/>
            </w:tcBorders>
            <w:shd w:val="clear" w:color="auto" w:fill="auto"/>
            <w:vAlign w:val="center"/>
          </w:tcPr>
          <w:p>
            <w:pPr>
              <w:jc w:val="right"/>
              <w:rPr>
                <w:sz w:val="18"/>
              </w:rPr>
            </w:pPr>
            <w:r>
              <w:rPr>
                <w:sz w:val="18"/>
              </w:rPr>
              <w:t xml:space="preserve">  1,7%</w:t>
            </w:r>
          </w:p>
        </w:tc>
        <w:tc>
          <w:tcPr>
            <w:tcW w:w="0" w:type="auto"/>
            <w:tcBorders>
              <w:top w:val="single" w:sz="4" w:space="0" w:color="auto"/>
            </w:tcBorders>
            <w:shd w:val="clear" w:color="auto" w:fill="auto"/>
            <w:vAlign w:val="center"/>
          </w:tcPr>
          <w:p>
            <w:pPr>
              <w:jc w:val="right"/>
              <w:rPr>
                <w:sz w:val="18"/>
              </w:rPr>
            </w:pPr>
            <w:r>
              <w:rPr>
                <w:sz w:val="18"/>
              </w:rPr>
              <w:t xml:space="preserve">  4,2%</w:t>
            </w:r>
          </w:p>
        </w:tc>
        <w:tc>
          <w:tcPr>
            <w:tcW w:w="0" w:type="auto"/>
            <w:tcBorders>
              <w:top w:val="single" w:sz="4" w:space="0" w:color="auto"/>
            </w:tcBorders>
            <w:shd w:val="clear" w:color="auto" w:fill="auto"/>
            <w:vAlign w:val="center"/>
          </w:tcPr>
          <w:p>
            <w:pPr>
              <w:jc w:val="right"/>
              <w:rPr>
                <w:sz w:val="18"/>
              </w:rPr>
            </w:pPr>
            <w:r>
              <w:rPr>
                <w:sz w:val="18"/>
              </w:rPr>
              <w:t xml:space="preserve">  8,6%</w:t>
            </w:r>
          </w:p>
        </w:tc>
        <w:tc>
          <w:tcPr>
            <w:tcW w:w="0" w:type="auto"/>
            <w:tcBorders>
              <w:top w:val="single" w:sz="4" w:space="0" w:color="auto"/>
            </w:tcBorders>
            <w:shd w:val="clear" w:color="auto" w:fill="auto"/>
            <w:vAlign w:val="center"/>
          </w:tcPr>
          <w:p>
            <w:pPr>
              <w:jc w:val="right"/>
              <w:rPr>
                <w:sz w:val="18"/>
              </w:rPr>
            </w:pPr>
            <w:r>
              <w:rPr>
                <w:sz w:val="18"/>
              </w:rPr>
              <w:t xml:space="preserve"> 28,8%</w:t>
            </w:r>
          </w:p>
        </w:tc>
        <w:tc>
          <w:tcPr>
            <w:tcW w:w="0" w:type="auto"/>
            <w:tcBorders>
              <w:top w:val="single" w:sz="4" w:space="0" w:color="auto"/>
            </w:tcBorders>
            <w:shd w:val="clear" w:color="auto" w:fill="auto"/>
            <w:vAlign w:val="center"/>
          </w:tcPr>
          <w:p>
            <w:pPr>
              <w:jc w:val="right"/>
              <w:rPr>
                <w:sz w:val="18"/>
              </w:rPr>
            </w:pPr>
            <w:r>
              <w:rPr>
                <w:sz w:val="18"/>
              </w:rPr>
              <w:t xml:space="preserve"> 31,6%</w:t>
            </w:r>
          </w:p>
        </w:tc>
        <w:tc>
          <w:tcPr>
            <w:tcW w:w="0" w:type="auto"/>
            <w:tcBorders>
              <w:top w:val="single" w:sz="4" w:space="0" w:color="auto"/>
            </w:tcBorders>
            <w:shd w:val="clear" w:color="auto" w:fill="auto"/>
            <w:vAlign w:val="center"/>
          </w:tcPr>
          <w:p>
            <w:pPr>
              <w:jc w:val="right"/>
              <w:rPr>
                <w:sz w:val="18"/>
              </w:rPr>
            </w:pPr>
            <w:r>
              <w:rPr>
                <w:sz w:val="18"/>
              </w:rPr>
              <w:t xml:space="preserve"> 25,2%</w:t>
            </w:r>
          </w:p>
        </w:tc>
        <w:tc>
          <w:tcPr>
            <w:tcW w:w="0" w:type="auto"/>
            <w:tcBorders>
              <w:top w:val="single" w:sz="4" w:space="0" w:color="auto"/>
            </w:tcBorders>
            <w:shd w:val="clear" w:color="auto" w:fill="auto"/>
            <w:vAlign w:val="center"/>
          </w:tcPr>
          <w:p>
            <w:pPr>
              <w:jc w:val="right"/>
              <w:rPr>
                <w:sz w:val="18"/>
              </w:rPr>
            </w:pPr>
            <w:r>
              <w:rPr>
                <w:sz w:val="18"/>
              </w:rPr>
              <w:t>361</w:t>
            </w:r>
          </w:p>
        </w:tc>
      </w:tr>
      <w:tr>
        <w:trPr>
          <w:trHeight w:hRule="exact" w:val="280"/>
        </w:trPr>
        <w:tc>
          <w:tcPr>
            <w:tcW w:w="0" w:type="auto"/>
            <w:shd w:val="clear" w:color="auto" w:fill="auto"/>
            <w:vAlign w:val="center"/>
          </w:tcPr>
          <w:p>
            <w:pPr>
              <w:jc w:val="left"/>
              <w:rPr>
                <w:sz w:val="18"/>
              </w:rPr>
            </w:pPr>
            <w:r>
              <w:rPr>
                <w:sz w:val="18"/>
              </w:rPr>
              <w:t>EN</w:t>
            </w:r>
          </w:p>
        </w:tc>
        <w:tc>
          <w:tcPr>
            <w:tcW w:w="0" w:type="auto"/>
            <w:shd w:val="clear" w:color="auto" w:fill="auto"/>
            <w:vAlign w:val="center"/>
          </w:tcPr>
          <w:p>
            <w:pPr>
              <w:jc w:val="right"/>
              <w:rPr>
                <w:sz w:val="18"/>
              </w:rPr>
            </w:pPr>
            <w:r>
              <w:rPr>
                <w:sz w:val="18"/>
              </w:rPr>
              <w:t xml:space="preserve">  0,2%</w:t>
            </w:r>
          </w:p>
        </w:tc>
        <w:tc>
          <w:tcPr>
            <w:tcW w:w="0" w:type="auto"/>
            <w:shd w:val="clear" w:color="auto" w:fill="auto"/>
            <w:vAlign w:val="center"/>
          </w:tcPr>
          <w:p>
            <w:pPr>
              <w:jc w:val="right"/>
              <w:rPr>
                <w:sz w:val="18"/>
              </w:rPr>
            </w:pPr>
            <w:r>
              <w:rPr>
                <w:sz w:val="18"/>
              </w:rPr>
              <w:t xml:space="preserve">  1,3%</w:t>
            </w:r>
          </w:p>
        </w:tc>
        <w:tc>
          <w:tcPr>
            <w:tcW w:w="0" w:type="auto"/>
            <w:shd w:val="clear" w:color="auto" w:fill="auto"/>
            <w:vAlign w:val="center"/>
          </w:tcPr>
          <w:p>
            <w:pPr>
              <w:jc w:val="right"/>
              <w:rPr>
                <w:sz w:val="18"/>
              </w:rPr>
            </w:pPr>
            <w:r>
              <w:rPr>
                <w:sz w:val="18"/>
              </w:rPr>
              <w:t xml:space="preserve">  9,3%</w:t>
            </w:r>
          </w:p>
        </w:tc>
        <w:tc>
          <w:tcPr>
            <w:tcW w:w="0" w:type="auto"/>
            <w:shd w:val="clear" w:color="auto" w:fill="auto"/>
            <w:vAlign w:val="center"/>
          </w:tcPr>
          <w:p>
            <w:pPr>
              <w:jc w:val="right"/>
              <w:rPr>
                <w:sz w:val="18"/>
              </w:rPr>
            </w:pPr>
            <w:r>
              <w:rPr>
                <w:sz w:val="18"/>
              </w:rPr>
              <w:t xml:space="preserve"> 28,2%</w:t>
            </w:r>
          </w:p>
        </w:tc>
        <w:tc>
          <w:tcPr>
            <w:tcW w:w="0" w:type="auto"/>
            <w:shd w:val="clear" w:color="auto" w:fill="auto"/>
            <w:vAlign w:val="center"/>
          </w:tcPr>
          <w:p>
            <w:pPr>
              <w:jc w:val="right"/>
              <w:rPr>
                <w:sz w:val="18"/>
              </w:rPr>
            </w:pPr>
            <w:r>
              <w:rPr>
                <w:sz w:val="18"/>
              </w:rPr>
              <w:t xml:space="preserve"> 34,4%</w:t>
            </w:r>
          </w:p>
        </w:tc>
        <w:tc>
          <w:tcPr>
            <w:tcW w:w="0" w:type="auto"/>
            <w:shd w:val="clear" w:color="auto" w:fill="auto"/>
            <w:vAlign w:val="center"/>
          </w:tcPr>
          <w:p>
            <w:pPr>
              <w:jc w:val="right"/>
              <w:rPr>
                <w:sz w:val="18"/>
              </w:rPr>
            </w:pPr>
            <w:r>
              <w:rPr>
                <w:sz w:val="18"/>
              </w:rPr>
              <w:t xml:space="preserve"> 26,7%</w:t>
            </w:r>
          </w:p>
        </w:tc>
        <w:tc>
          <w:tcPr>
            <w:tcW w:w="0" w:type="auto"/>
            <w:shd w:val="clear" w:color="auto" w:fill="auto"/>
            <w:vAlign w:val="center"/>
          </w:tcPr>
          <w:p>
            <w:pPr>
              <w:jc w:val="right"/>
              <w:rPr>
                <w:sz w:val="18"/>
              </w:rPr>
            </w:pPr>
            <w:r>
              <w:rPr>
                <w:sz w:val="18"/>
              </w:rPr>
              <w:t>3.286</w:t>
            </w:r>
          </w:p>
        </w:tc>
      </w:tr>
      <w:tr>
        <w:trPr>
          <w:trHeight w:hRule="exact" w:val="280"/>
        </w:trPr>
        <w:tc>
          <w:tcPr>
            <w:tcW w:w="0" w:type="auto"/>
            <w:shd w:val="clear" w:color="auto" w:fill="auto"/>
            <w:vAlign w:val="center"/>
          </w:tcPr>
          <w:p>
            <w:pPr>
              <w:jc w:val="left"/>
              <w:rPr>
                <w:sz w:val="18"/>
              </w:rPr>
            </w:pPr>
            <w:r>
              <w:rPr>
                <w:sz w:val="18"/>
              </w:rPr>
              <w:t>ES</w:t>
            </w:r>
          </w:p>
        </w:tc>
        <w:tc>
          <w:tcPr>
            <w:tcW w:w="0" w:type="auto"/>
            <w:shd w:val="clear" w:color="auto" w:fill="auto"/>
            <w:vAlign w:val="center"/>
          </w:tcPr>
          <w:p>
            <w:pPr>
              <w:jc w:val="right"/>
              <w:rPr>
                <w:sz w:val="18"/>
              </w:rPr>
            </w:pPr>
            <w:r>
              <w:rPr>
                <w:sz w:val="18"/>
              </w:rPr>
              <w:t xml:space="preserve">  2,0%</w:t>
            </w:r>
          </w:p>
        </w:tc>
        <w:tc>
          <w:tcPr>
            <w:tcW w:w="0" w:type="auto"/>
            <w:shd w:val="clear" w:color="auto" w:fill="auto"/>
            <w:vAlign w:val="center"/>
          </w:tcPr>
          <w:p>
            <w:pPr>
              <w:jc w:val="right"/>
              <w:rPr>
                <w:sz w:val="18"/>
              </w:rPr>
            </w:pPr>
            <w:r>
              <w:rPr>
                <w:sz w:val="18"/>
              </w:rPr>
              <w:t xml:space="preserve"> 10,4%</w:t>
            </w:r>
          </w:p>
        </w:tc>
        <w:tc>
          <w:tcPr>
            <w:tcW w:w="0" w:type="auto"/>
            <w:shd w:val="clear" w:color="auto" w:fill="auto"/>
            <w:vAlign w:val="center"/>
          </w:tcPr>
          <w:p>
            <w:pPr>
              <w:jc w:val="right"/>
              <w:rPr>
                <w:sz w:val="18"/>
              </w:rPr>
            </w:pPr>
            <w:r>
              <w:rPr>
                <w:sz w:val="18"/>
              </w:rPr>
              <w:t xml:space="preserve"> 20,6%</w:t>
            </w:r>
          </w:p>
        </w:tc>
        <w:tc>
          <w:tcPr>
            <w:tcW w:w="0" w:type="auto"/>
            <w:shd w:val="clear" w:color="auto" w:fill="auto"/>
            <w:vAlign w:val="center"/>
          </w:tcPr>
          <w:p>
            <w:pPr>
              <w:jc w:val="right"/>
              <w:rPr>
                <w:sz w:val="18"/>
              </w:rPr>
            </w:pPr>
            <w:r>
              <w:rPr>
                <w:sz w:val="18"/>
              </w:rPr>
              <w:t xml:space="preserve"> 24,7%</w:t>
            </w:r>
          </w:p>
        </w:tc>
        <w:tc>
          <w:tcPr>
            <w:tcW w:w="0" w:type="auto"/>
            <w:shd w:val="clear" w:color="auto" w:fill="auto"/>
            <w:vAlign w:val="center"/>
          </w:tcPr>
          <w:p>
            <w:pPr>
              <w:jc w:val="right"/>
              <w:rPr>
                <w:sz w:val="18"/>
              </w:rPr>
            </w:pPr>
            <w:r>
              <w:rPr>
                <w:sz w:val="18"/>
              </w:rPr>
              <w:t xml:space="preserve"> 25,7%</w:t>
            </w:r>
          </w:p>
        </w:tc>
        <w:tc>
          <w:tcPr>
            <w:tcW w:w="0" w:type="auto"/>
            <w:shd w:val="clear" w:color="auto" w:fill="auto"/>
            <w:vAlign w:val="center"/>
          </w:tcPr>
          <w:p>
            <w:pPr>
              <w:jc w:val="right"/>
              <w:rPr>
                <w:sz w:val="18"/>
              </w:rPr>
            </w:pPr>
            <w:r>
              <w:rPr>
                <w:sz w:val="18"/>
              </w:rPr>
              <w:t xml:space="preserve"> 16,6%</w:t>
            </w:r>
          </w:p>
        </w:tc>
        <w:tc>
          <w:tcPr>
            <w:tcW w:w="0" w:type="auto"/>
            <w:shd w:val="clear" w:color="auto" w:fill="auto"/>
            <w:vAlign w:val="center"/>
          </w:tcPr>
          <w:p>
            <w:pPr>
              <w:jc w:val="right"/>
              <w:rPr>
                <w:sz w:val="18"/>
              </w:rPr>
            </w:pPr>
            <w:r>
              <w:rPr>
                <w:sz w:val="18"/>
              </w:rPr>
              <w:t>1.227</w:t>
            </w:r>
          </w:p>
        </w:tc>
      </w:tr>
      <w:tr>
        <w:trPr>
          <w:trHeight w:hRule="exact" w:val="280"/>
        </w:trPr>
        <w:tc>
          <w:tcPr>
            <w:tcW w:w="0" w:type="auto"/>
            <w:shd w:val="clear" w:color="auto" w:fill="auto"/>
            <w:vAlign w:val="center"/>
          </w:tcPr>
          <w:p>
            <w:pPr>
              <w:jc w:val="left"/>
              <w:rPr>
                <w:sz w:val="18"/>
              </w:rPr>
            </w:pPr>
            <w:r>
              <w:rPr>
                <w:sz w:val="18"/>
              </w:rPr>
              <w:t>FR</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11,1%</w:t>
            </w:r>
          </w:p>
        </w:tc>
        <w:tc>
          <w:tcPr>
            <w:tcW w:w="0" w:type="auto"/>
            <w:shd w:val="clear" w:color="auto" w:fill="auto"/>
            <w:vAlign w:val="center"/>
          </w:tcPr>
          <w:p>
            <w:pPr>
              <w:jc w:val="right"/>
              <w:rPr>
                <w:sz w:val="18"/>
              </w:rPr>
            </w:pPr>
            <w:r>
              <w:rPr>
                <w:sz w:val="18"/>
              </w:rPr>
              <w:t xml:space="preserve"> 11,1%</w:t>
            </w:r>
          </w:p>
        </w:tc>
        <w:tc>
          <w:tcPr>
            <w:tcW w:w="0" w:type="auto"/>
            <w:shd w:val="clear" w:color="auto" w:fill="auto"/>
            <w:vAlign w:val="center"/>
          </w:tcPr>
          <w:p>
            <w:pPr>
              <w:jc w:val="right"/>
              <w:rPr>
                <w:sz w:val="18"/>
              </w:rPr>
            </w:pPr>
            <w:r>
              <w:rPr>
                <w:sz w:val="18"/>
              </w:rPr>
              <w:t xml:space="preserve"> 33,3%</w:t>
            </w:r>
          </w:p>
        </w:tc>
        <w:tc>
          <w:tcPr>
            <w:tcW w:w="0" w:type="auto"/>
            <w:shd w:val="clear" w:color="auto" w:fill="auto"/>
            <w:vAlign w:val="center"/>
          </w:tcPr>
          <w:p>
            <w:pPr>
              <w:jc w:val="right"/>
              <w:rPr>
                <w:sz w:val="18"/>
              </w:rPr>
            </w:pPr>
            <w:r>
              <w:rPr>
                <w:sz w:val="18"/>
              </w:rPr>
              <w:t xml:space="preserve"> 44,4%</w:t>
            </w:r>
          </w:p>
        </w:tc>
        <w:tc>
          <w:tcPr>
            <w:tcW w:w="0" w:type="auto"/>
            <w:shd w:val="clear" w:color="auto" w:fill="auto"/>
            <w:vAlign w:val="center"/>
          </w:tcPr>
          <w:p>
            <w:pPr>
              <w:jc w:val="right"/>
              <w:rPr>
                <w:sz w:val="18"/>
              </w:rPr>
            </w:pPr>
            <w:r>
              <w:rPr>
                <w:sz w:val="18"/>
              </w:rPr>
              <w:t>9</w:t>
            </w:r>
          </w:p>
        </w:tc>
      </w:tr>
      <w:tr>
        <w:trPr>
          <w:trHeight w:hRule="exact" w:val="280"/>
        </w:trPr>
        <w:tc>
          <w:tcPr>
            <w:tcW w:w="0" w:type="auto"/>
            <w:shd w:val="clear" w:color="auto" w:fill="auto"/>
            <w:vAlign w:val="center"/>
          </w:tcPr>
          <w:p>
            <w:pPr>
              <w:jc w:val="left"/>
              <w:rPr>
                <w:sz w:val="18"/>
              </w:rPr>
            </w:pPr>
            <w:r>
              <w:rPr>
                <w:sz w:val="18"/>
              </w:rPr>
              <w:t>IT</w:t>
            </w:r>
          </w:p>
        </w:tc>
        <w:tc>
          <w:tcPr>
            <w:tcW w:w="0" w:type="auto"/>
            <w:shd w:val="clear" w:color="auto" w:fill="auto"/>
            <w:vAlign w:val="center"/>
          </w:tcPr>
          <w:p>
            <w:pPr>
              <w:jc w:val="right"/>
              <w:rPr>
                <w:sz w:val="18"/>
              </w:rPr>
            </w:pPr>
            <w:r>
              <w:rPr>
                <w:sz w:val="18"/>
              </w:rPr>
              <w:t xml:space="preserve">  1,7%</w:t>
            </w:r>
          </w:p>
        </w:tc>
        <w:tc>
          <w:tcPr>
            <w:tcW w:w="0" w:type="auto"/>
            <w:shd w:val="clear" w:color="auto" w:fill="auto"/>
            <w:vAlign w:val="center"/>
          </w:tcPr>
          <w:p>
            <w:pPr>
              <w:jc w:val="right"/>
              <w:rPr>
                <w:sz w:val="18"/>
              </w:rPr>
            </w:pPr>
            <w:r>
              <w:rPr>
                <w:sz w:val="18"/>
              </w:rPr>
              <w:t xml:space="preserve">  7,1%</w:t>
            </w:r>
          </w:p>
        </w:tc>
        <w:tc>
          <w:tcPr>
            <w:tcW w:w="0" w:type="auto"/>
            <w:shd w:val="clear" w:color="auto" w:fill="auto"/>
            <w:vAlign w:val="center"/>
          </w:tcPr>
          <w:p>
            <w:pPr>
              <w:jc w:val="right"/>
              <w:rPr>
                <w:sz w:val="18"/>
              </w:rPr>
            </w:pPr>
            <w:r>
              <w:rPr>
                <w:sz w:val="18"/>
              </w:rPr>
              <w:t xml:space="preserve"> 12,7%</w:t>
            </w:r>
          </w:p>
        </w:tc>
        <w:tc>
          <w:tcPr>
            <w:tcW w:w="0" w:type="auto"/>
            <w:shd w:val="clear" w:color="auto" w:fill="auto"/>
            <w:vAlign w:val="center"/>
          </w:tcPr>
          <w:p>
            <w:pPr>
              <w:jc w:val="right"/>
              <w:rPr>
                <w:sz w:val="18"/>
              </w:rPr>
            </w:pPr>
            <w:r>
              <w:rPr>
                <w:sz w:val="18"/>
              </w:rPr>
              <w:t xml:space="preserve"> 23,2%</w:t>
            </w:r>
          </w:p>
        </w:tc>
        <w:tc>
          <w:tcPr>
            <w:tcW w:w="0" w:type="auto"/>
            <w:shd w:val="clear" w:color="auto" w:fill="auto"/>
            <w:vAlign w:val="center"/>
          </w:tcPr>
          <w:p>
            <w:pPr>
              <w:jc w:val="right"/>
              <w:rPr>
                <w:sz w:val="18"/>
              </w:rPr>
            </w:pPr>
            <w:r>
              <w:rPr>
                <w:sz w:val="18"/>
              </w:rPr>
              <w:t xml:space="preserve"> 32,5%</w:t>
            </w:r>
          </w:p>
        </w:tc>
        <w:tc>
          <w:tcPr>
            <w:tcW w:w="0" w:type="auto"/>
            <w:shd w:val="clear" w:color="auto" w:fill="auto"/>
            <w:vAlign w:val="center"/>
          </w:tcPr>
          <w:p>
            <w:pPr>
              <w:jc w:val="right"/>
              <w:rPr>
                <w:sz w:val="18"/>
              </w:rPr>
            </w:pPr>
            <w:r>
              <w:rPr>
                <w:sz w:val="18"/>
              </w:rPr>
              <w:t xml:space="preserve"> 22,9%</w:t>
            </w:r>
          </w:p>
        </w:tc>
        <w:tc>
          <w:tcPr>
            <w:tcW w:w="0" w:type="auto"/>
            <w:shd w:val="clear" w:color="auto" w:fill="auto"/>
            <w:vAlign w:val="center"/>
          </w:tcPr>
          <w:p>
            <w:pPr>
              <w:jc w:val="right"/>
              <w:rPr>
                <w:sz w:val="18"/>
              </w:rPr>
            </w:pPr>
            <w:r>
              <w:rPr>
                <w:sz w:val="18"/>
              </w:rPr>
              <w:t>354</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NL</w:t>
            </w:r>
          </w:p>
        </w:tc>
        <w:tc>
          <w:tcPr>
            <w:tcW w:w="0" w:type="auto"/>
            <w:tcBorders>
              <w:bottom w:val="single" w:sz="4" w:space="0" w:color="auto"/>
            </w:tcBorders>
            <w:shd w:val="clear" w:color="auto" w:fill="auto"/>
            <w:vAlign w:val="center"/>
          </w:tcPr>
          <w:p>
            <w:pPr>
              <w:jc w:val="right"/>
              <w:rPr>
                <w:sz w:val="18"/>
              </w:rPr>
            </w:pPr>
            <w:r>
              <w:rPr>
                <w:sz w:val="18"/>
              </w:rPr>
              <w:t xml:space="preserve">  0,8%</w:t>
            </w:r>
          </w:p>
        </w:tc>
        <w:tc>
          <w:tcPr>
            <w:tcW w:w="0" w:type="auto"/>
            <w:tcBorders>
              <w:bottom w:val="single" w:sz="4" w:space="0" w:color="auto"/>
            </w:tcBorders>
            <w:shd w:val="clear" w:color="auto" w:fill="auto"/>
            <w:vAlign w:val="center"/>
          </w:tcPr>
          <w:p>
            <w:pPr>
              <w:jc w:val="right"/>
              <w:rPr>
                <w:sz w:val="18"/>
              </w:rPr>
            </w:pPr>
            <w:r>
              <w:rPr>
                <w:sz w:val="18"/>
              </w:rPr>
              <w:t xml:space="preserve">  3,2%</w:t>
            </w:r>
          </w:p>
        </w:tc>
        <w:tc>
          <w:tcPr>
            <w:tcW w:w="0" w:type="auto"/>
            <w:tcBorders>
              <w:bottom w:val="single" w:sz="4" w:space="0" w:color="auto"/>
            </w:tcBorders>
            <w:shd w:val="clear" w:color="auto" w:fill="auto"/>
            <w:vAlign w:val="center"/>
          </w:tcPr>
          <w:p>
            <w:pPr>
              <w:jc w:val="right"/>
              <w:rPr>
                <w:sz w:val="18"/>
              </w:rPr>
            </w:pPr>
            <w:r>
              <w:rPr>
                <w:sz w:val="18"/>
              </w:rPr>
              <w:t xml:space="preserve">  8,0%</w:t>
            </w:r>
          </w:p>
        </w:tc>
        <w:tc>
          <w:tcPr>
            <w:tcW w:w="0" w:type="auto"/>
            <w:tcBorders>
              <w:bottom w:val="single" w:sz="4" w:space="0" w:color="auto"/>
            </w:tcBorders>
            <w:shd w:val="clear" w:color="auto" w:fill="auto"/>
            <w:vAlign w:val="center"/>
          </w:tcPr>
          <w:p>
            <w:pPr>
              <w:jc w:val="right"/>
              <w:rPr>
                <w:sz w:val="18"/>
              </w:rPr>
            </w:pPr>
            <w:r>
              <w:rPr>
                <w:sz w:val="18"/>
              </w:rPr>
              <w:t xml:space="preserve"> 25,6%</w:t>
            </w:r>
          </w:p>
        </w:tc>
        <w:tc>
          <w:tcPr>
            <w:tcW w:w="0" w:type="auto"/>
            <w:tcBorders>
              <w:bottom w:val="single" w:sz="4" w:space="0" w:color="auto"/>
            </w:tcBorders>
            <w:shd w:val="clear" w:color="auto" w:fill="auto"/>
            <w:vAlign w:val="center"/>
          </w:tcPr>
          <w:p>
            <w:pPr>
              <w:jc w:val="right"/>
              <w:rPr>
                <w:sz w:val="18"/>
              </w:rPr>
            </w:pPr>
            <w:r>
              <w:rPr>
                <w:sz w:val="18"/>
              </w:rPr>
              <w:t xml:space="preserve"> 32,8%</w:t>
            </w:r>
          </w:p>
        </w:tc>
        <w:tc>
          <w:tcPr>
            <w:tcW w:w="0" w:type="auto"/>
            <w:tcBorders>
              <w:bottom w:val="single" w:sz="4" w:space="0" w:color="auto"/>
            </w:tcBorders>
            <w:shd w:val="clear" w:color="auto" w:fill="auto"/>
            <w:vAlign w:val="center"/>
          </w:tcPr>
          <w:p>
            <w:pPr>
              <w:jc w:val="right"/>
              <w:rPr>
                <w:sz w:val="18"/>
              </w:rPr>
            </w:pPr>
            <w:r>
              <w:rPr>
                <w:sz w:val="18"/>
              </w:rPr>
              <w:t xml:space="preserve"> 29,6%</w:t>
            </w:r>
          </w:p>
        </w:tc>
        <w:tc>
          <w:tcPr>
            <w:tcW w:w="0" w:type="auto"/>
            <w:tcBorders>
              <w:bottom w:val="single" w:sz="4" w:space="0" w:color="auto"/>
            </w:tcBorders>
            <w:shd w:val="clear" w:color="auto" w:fill="auto"/>
            <w:vAlign w:val="center"/>
          </w:tcPr>
          <w:p>
            <w:pPr>
              <w:jc w:val="right"/>
              <w:rPr>
                <w:sz w:val="18"/>
              </w:rPr>
            </w:pPr>
            <w:r>
              <w:rPr>
                <w:sz w:val="18"/>
              </w:rPr>
              <w:t>125</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CS</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100,0%</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1</w:t>
            </w:r>
          </w:p>
        </w:tc>
      </w:tr>
      <w:tr>
        <w:trPr>
          <w:trHeight w:hRule="exact" w:val="280"/>
        </w:trPr>
        <w:tc>
          <w:tcPr>
            <w:tcW w:w="0" w:type="auto"/>
            <w:shd w:val="clear" w:color="auto" w:fill="auto"/>
            <w:vAlign w:val="center"/>
          </w:tcPr>
          <w:p>
            <w:pPr>
              <w:jc w:val="left"/>
              <w:rPr>
                <w:sz w:val="18"/>
              </w:rPr>
            </w:pPr>
            <w:r>
              <w:rPr>
                <w:sz w:val="18"/>
              </w:rPr>
              <w:t>DA</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0</w:t>
            </w:r>
          </w:p>
        </w:tc>
      </w:tr>
      <w:tr>
        <w:trPr>
          <w:trHeight w:hRule="exact" w:val="280"/>
        </w:trPr>
        <w:tc>
          <w:tcPr>
            <w:tcW w:w="0" w:type="auto"/>
            <w:shd w:val="clear" w:color="auto" w:fill="auto"/>
            <w:vAlign w:val="center"/>
          </w:tcPr>
          <w:p>
            <w:pPr>
              <w:jc w:val="left"/>
              <w:rPr>
                <w:sz w:val="18"/>
              </w:rPr>
            </w:pPr>
            <w:r>
              <w:rPr>
                <w:sz w:val="18"/>
              </w:rPr>
              <w:t>EL</w:t>
            </w:r>
          </w:p>
        </w:tc>
        <w:tc>
          <w:tcPr>
            <w:tcW w:w="0" w:type="auto"/>
            <w:shd w:val="clear" w:color="auto" w:fill="auto"/>
            <w:vAlign w:val="center"/>
          </w:tcPr>
          <w:p>
            <w:pPr>
              <w:jc w:val="right"/>
              <w:rPr>
                <w:sz w:val="18"/>
              </w:rPr>
            </w:pPr>
            <w:r>
              <w:rPr>
                <w:sz w:val="18"/>
              </w:rPr>
              <w:t xml:space="preserve"> 50,0%</w:t>
            </w:r>
          </w:p>
        </w:tc>
        <w:tc>
          <w:tcPr>
            <w:tcW w:w="0" w:type="auto"/>
            <w:shd w:val="clear" w:color="auto" w:fill="auto"/>
            <w:vAlign w:val="center"/>
          </w:tcPr>
          <w:p>
            <w:pPr>
              <w:jc w:val="right"/>
              <w:rPr>
                <w:sz w:val="18"/>
              </w:rPr>
            </w:pPr>
            <w:r>
              <w:rPr>
                <w:sz w:val="18"/>
              </w:rPr>
              <w:t xml:space="preserve"> 50,0%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2</w:t>
            </w:r>
          </w:p>
        </w:tc>
      </w:tr>
      <w:tr>
        <w:trPr>
          <w:trHeight w:hRule="exact" w:val="280"/>
        </w:trPr>
        <w:tc>
          <w:tcPr>
            <w:tcW w:w="0" w:type="auto"/>
            <w:shd w:val="clear" w:color="auto" w:fill="auto"/>
            <w:vAlign w:val="center"/>
          </w:tcPr>
          <w:p>
            <w:pPr>
              <w:jc w:val="left"/>
              <w:rPr>
                <w:sz w:val="18"/>
              </w:rPr>
            </w:pPr>
            <w:r>
              <w:rPr>
                <w:sz w:val="18"/>
              </w:rPr>
              <w:t>PL</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100,0%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1</w:t>
            </w:r>
          </w:p>
        </w:tc>
      </w:tr>
      <w:tr>
        <w:trPr>
          <w:trHeight w:hRule="exact" w:val="280"/>
        </w:trPr>
        <w:tc>
          <w:tcPr>
            <w:tcW w:w="0" w:type="auto"/>
            <w:shd w:val="clear" w:color="auto" w:fill="auto"/>
            <w:vAlign w:val="center"/>
          </w:tcPr>
          <w:p>
            <w:pPr>
              <w:jc w:val="left"/>
              <w:rPr>
                <w:sz w:val="18"/>
              </w:rPr>
            </w:pPr>
            <w:r>
              <w:rPr>
                <w:sz w:val="18"/>
              </w:rPr>
              <w:t>PT</w:t>
            </w:r>
          </w:p>
        </w:tc>
        <w:tc>
          <w:tcPr>
            <w:tcW w:w="0" w:type="auto"/>
            <w:shd w:val="clear" w:color="auto" w:fill="auto"/>
            <w:vAlign w:val="center"/>
          </w:tcPr>
          <w:p>
            <w:pPr>
              <w:jc w:val="right"/>
              <w:rPr>
                <w:sz w:val="18"/>
              </w:rPr>
            </w:pPr>
            <w:r>
              <w:rPr>
                <w:sz w:val="18"/>
              </w:rPr>
              <w:t xml:space="preserve"> 44,4%</w:t>
            </w:r>
          </w:p>
        </w:tc>
        <w:tc>
          <w:tcPr>
            <w:tcW w:w="0" w:type="auto"/>
            <w:shd w:val="clear" w:color="auto" w:fill="auto"/>
            <w:vAlign w:val="center"/>
          </w:tcPr>
          <w:p>
            <w:pPr>
              <w:jc w:val="right"/>
              <w:rPr>
                <w:sz w:val="18"/>
              </w:rPr>
            </w:pPr>
            <w:r>
              <w:rPr>
                <w:sz w:val="18"/>
              </w:rPr>
              <w:t xml:space="preserve"> 11,1%</w:t>
            </w:r>
          </w:p>
        </w:tc>
        <w:tc>
          <w:tcPr>
            <w:tcW w:w="0" w:type="auto"/>
            <w:shd w:val="clear" w:color="auto" w:fill="auto"/>
            <w:vAlign w:val="center"/>
          </w:tcPr>
          <w:p>
            <w:pPr>
              <w:jc w:val="right"/>
              <w:rPr>
                <w:sz w:val="18"/>
              </w:rPr>
            </w:pPr>
            <w:r>
              <w:rPr>
                <w:sz w:val="18"/>
              </w:rPr>
              <w:t xml:space="preserve"> 22,2%</w:t>
            </w:r>
          </w:p>
        </w:tc>
        <w:tc>
          <w:tcPr>
            <w:tcW w:w="0" w:type="auto"/>
            <w:shd w:val="clear" w:color="auto" w:fill="auto"/>
            <w:vAlign w:val="center"/>
          </w:tcPr>
          <w:p>
            <w:pPr>
              <w:jc w:val="right"/>
              <w:rPr>
                <w:sz w:val="18"/>
              </w:rPr>
            </w:pPr>
            <w:r>
              <w:rPr>
                <w:sz w:val="18"/>
              </w:rPr>
              <w:t xml:space="preserve"> 22,2%</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9</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SV</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0</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 xml:space="preserve">Total  LA2 </w:t>
            </w:r>
            <w:r>
              <w:rPr>
                <w:sz w:val="18"/>
              </w:rPr>
              <w:br/>
              <w:t>per CEFR level</w:t>
            </w:r>
          </w:p>
        </w:tc>
        <w:tc>
          <w:tcPr>
            <w:tcW w:w="0" w:type="auto"/>
            <w:tcBorders>
              <w:top w:val="single" w:sz="4" w:space="0" w:color="auto"/>
            </w:tcBorders>
            <w:shd w:val="clear" w:color="auto" w:fill="auto"/>
            <w:vAlign w:val="center"/>
          </w:tcPr>
          <w:p>
            <w:pPr>
              <w:jc w:val="right"/>
              <w:rPr>
                <w:sz w:val="18"/>
              </w:rPr>
            </w:pPr>
            <w:r>
              <w:rPr>
                <w:sz w:val="18"/>
              </w:rPr>
              <w:t>48</w:t>
            </w:r>
          </w:p>
        </w:tc>
        <w:tc>
          <w:tcPr>
            <w:tcW w:w="0" w:type="auto"/>
            <w:tcBorders>
              <w:top w:val="single" w:sz="4" w:space="0" w:color="auto"/>
            </w:tcBorders>
            <w:shd w:val="clear" w:color="auto" w:fill="auto"/>
            <w:vAlign w:val="center"/>
          </w:tcPr>
          <w:p>
            <w:pPr>
              <w:jc w:val="right"/>
              <w:rPr>
                <w:sz w:val="18"/>
              </w:rPr>
            </w:pPr>
            <w:r>
              <w:rPr>
                <w:sz w:val="18"/>
              </w:rPr>
              <w:t>217</w:t>
            </w:r>
          </w:p>
        </w:tc>
        <w:tc>
          <w:tcPr>
            <w:tcW w:w="0" w:type="auto"/>
            <w:tcBorders>
              <w:top w:val="single" w:sz="4" w:space="0" w:color="auto"/>
            </w:tcBorders>
            <w:shd w:val="clear" w:color="auto" w:fill="auto"/>
            <w:vAlign w:val="center"/>
          </w:tcPr>
          <w:p>
            <w:pPr>
              <w:jc w:val="right"/>
              <w:rPr>
                <w:sz w:val="18"/>
              </w:rPr>
            </w:pPr>
            <w:r>
              <w:rPr>
                <w:sz w:val="18"/>
              </w:rPr>
              <w:t>647</w:t>
            </w:r>
          </w:p>
        </w:tc>
        <w:tc>
          <w:tcPr>
            <w:tcW w:w="0" w:type="auto"/>
            <w:tcBorders>
              <w:top w:val="single" w:sz="4" w:space="0" w:color="auto"/>
            </w:tcBorders>
            <w:shd w:val="clear" w:color="auto" w:fill="auto"/>
            <w:vAlign w:val="center"/>
          </w:tcPr>
          <w:p>
            <w:pPr>
              <w:jc w:val="right"/>
              <w:rPr>
                <w:sz w:val="18"/>
              </w:rPr>
            </w:pPr>
            <w:r>
              <w:rPr>
                <w:sz w:val="18"/>
              </w:rPr>
              <w:t>1.450</w:t>
            </w:r>
          </w:p>
        </w:tc>
        <w:tc>
          <w:tcPr>
            <w:tcW w:w="0" w:type="auto"/>
            <w:tcBorders>
              <w:top w:val="single" w:sz="4" w:space="0" w:color="auto"/>
            </w:tcBorders>
            <w:shd w:val="clear" w:color="auto" w:fill="auto"/>
            <w:vAlign w:val="center"/>
          </w:tcPr>
          <w:p>
            <w:pPr>
              <w:jc w:val="right"/>
              <w:rPr>
                <w:sz w:val="18"/>
              </w:rPr>
            </w:pPr>
            <w:r>
              <w:rPr>
                <w:sz w:val="18"/>
              </w:rPr>
              <w:t>1.718</w:t>
            </w:r>
          </w:p>
        </w:tc>
        <w:tc>
          <w:tcPr>
            <w:tcW w:w="0" w:type="auto"/>
            <w:tcBorders>
              <w:top w:val="single" w:sz="4" w:space="0" w:color="auto"/>
            </w:tcBorders>
            <w:shd w:val="clear" w:color="auto" w:fill="auto"/>
            <w:vAlign w:val="center"/>
          </w:tcPr>
          <w:p>
            <w:pPr>
              <w:jc w:val="right"/>
              <w:rPr>
                <w:sz w:val="18"/>
              </w:rPr>
            </w:pPr>
            <w:r>
              <w:rPr>
                <w:sz w:val="18"/>
              </w:rPr>
              <w:t>1.295</w:t>
            </w:r>
          </w:p>
        </w:tc>
        <w:tc>
          <w:tcPr>
            <w:tcW w:w="0" w:type="auto"/>
            <w:tcBorders>
              <w:top w:val="single" w:sz="4" w:space="0" w:color="auto"/>
            </w:tcBorders>
            <w:shd w:val="clear" w:color="auto" w:fill="auto"/>
            <w:vAlign w:val="center"/>
          </w:tcPr>
          <w:p>
            <w:pPr>
              <w:jc w:val="right"/>
              <w:rPr>
                <w:sz w:val="18"/>
              </w:rPr>
            </w:pPr>
            <w:r>
              <w:rPr>
                <w:sz w:val="18"/>
              </w:rPr>
              <w:t>5.375</w:t>
            </w:r>
          </w:p>
        </w:tc>
      </w:tr>
      <w:bookmarkEnd w:id="24"/>
    </w:tbl>
    <w:p/>
    <w:p>
      <w:pPr>
        <w:pStyle w:val="Lgende"/>
        <w:keepNext/>
      </w:pPr>
      <w:r>
        <w:t xml:space="preserve">Figure </w:t>
      </w:r>
      <w:fldSimple w:instr=" SEQ Figure \* ARABIC ">
        <w:r>
          <w:rPr>
            <w:noProof/>
          </w:rPr>
          <w:t>4</w:t>
        </w:r>
      </w:fldSimple>
      <w:r>
        <w:t>. Distribution of CEFR levels at language assessment 2</w:t>
      </w:r>
      <w:bookmarkStart w:id="25" w:name="InlineShape5"/>
      <w:bookmarkEnd w:id="25"/>
    </w:p>
    <w:p>
      <w:r>
        <w:rPr>
          <w:noProof/>
          <w:lang w:val="fr-BE" w:eastAsia="fr-BE"/>
        </w:rPr>
        <w:drawing>
          <wp:inline distT="0" distB="0" distL="0" distR="0">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pPr>
        <w:rPr>
          <w:i/>
        </w:rPr>
      </w:pPr>
      <w:r>
        <w:rPr>
          <w:i/>
        </w:rPr>
        <w:t>NB: columns represent 100% of completed language assessments 2 per language.</w:t>
      </w:r>
    </w:p>
    <w:p>
      <w:pPr>
        <w:rPr>
          <w:i/>
        </w:rPr>
        <w:sectPr>
          <w:pgSz w:w="11907" w:h="16839" w:code="9"/>
          <w:pgMar w:top="1440" w:right="1440" w:bottom="1440" w:left="1440" w:header="709" w:footer="709" w:gutter="0"/>
          <w:cols w:space="708"/>
          <w:docGrid w:linePitch="360"/>
        </w:sectPr>
      </w:pPr>
    </w:p>
    <w:p>
      <w:pPr>
        <w:pStyle w:val="Titre2"/>
      </w:pPr>
      <w:bookmarkStart w:id="26" w:name="subsec____Comparison_of_OLS_Results_for_"/>
      <w:bookmarkStart w:id="27" w:name="_Toc476736934"/>
      <w:bookmarkEnd w:id="26"/>
      <w:r>
        <w:lastRenderedPageBreak/>
        <w:t>3. Comparison of OLS Results for the First and Second Language Assessment</w:t>
      </w:r>
      <w:bookmarkEnd w:id="27"/>
    </w:p>
    <w:p>
      <w:pPr>
        <w:pStyle w:val="Corpsdetexte"/>
      </w:pPr>
      <w:r>
        <w:t>This table compares  participants' results according to the CEFR across completed language assessments 1 and completed language assessments 2.</w:t>
      </w:r>
    </w:p>
    <w:p>
      <w:pPr>
        <w:pStyle w:val="Lgende"/>
        <w:keepNext/>
      </w:pPr>
      <w:r>
        <w:t xml:space="preserve">Table </w:t>
      </w:r>
      <w:fldSimple w:instr=" SEQ Table \* ARABIC ">
        <w:r>
          <w:rPr>
            <w:noProof/>
          </w:rPr>
          <w:t>7</w:t>
        </w:r>
      </w:fldSimple>
      <w:r>
        <w:t>. Distribution of assessment results by CEFR level for those  participants having completed language assessment1 and language assessment 2, including an indication of results by relevant category</w:t>
      </w:r>
    </w:p>
    <w:tbl>
      <w:tblPr>
        <w:tblW w:w="0" w:type="auto"/>
        <w:tblCellMar>
          <w:left w:w="100" w:type="dxa"/>
          <w:right w:w="100" w:type="dxa"/>
        </w:tblCellMar>
        <w:tblLook w:val="0000" w:firstRow="0" w:lastRow="0" w:firstColumn="0" w:lastColumn="0" w:noHBand="0" w:noVBand="0"/>
      </w:tblPr>
      <w:tblGrid>
        <w:gridCol w:w="727"/>
        <w:gridCol w:w="688"/>
        <w:gridCol w:w="688"/>
        <w:gridCol w:w="688"/>
        <w:gridCol w:w="648"/>
        <w:gridCol w:w="648"/>
        <w:gridCol w:w="648"/>
        <w:gridCol w:w="1024"/>
        <w:gridCol w:w="1018"/>
        <w:gridCol w:w="1137"/>
      </w:tblGrid>
      <w:tr>
        <w:tc>
          <w:tcPr>
            <w:tcW w:w="0" w:type="auto"/>
            <w:tcBorders>
              <w:bottom w:val="single" w:sz="4" w:space="0" w:color="auto"/>
            </w:tcBorders>
            <w:shd w:val="clear" w:color="auto" w:fill="auto"/>
            <w:vAlign w:val="center"/>
          </w:tcPr>
          <w:p>
            <w:pPr>
              <w:jc w:val="left"/>
              <w:rPr>
                <w:sz w:val="18"/>
              </w:rPr>
            </w:pPr>
            <w:bookmarkStart w:id="28" w:name="Table21"/>
          </w:p>
        </w:tc>
        <w:tc>
          <w:tcPr>
            <w:tcW w:w="0" w:type="auto"/>
            <w:tcBorders>
              <w:bottom w:val="single" w:sz="4" w:space="0" w:color="auto"/>
            </w:tcBorders>
            <w:shd w:val="clear" w:color="auto" w:fill="auto"/>
            <w:vAlign w:val="center"/>
          </w:tcPr>
          <w:p>
            <w:pPr>
              <w:jc w:val="right"/>
              <w:rPr>
                <w:sz w:val="18"/>
              </w:rPr>
            </w:pPr>
            <w:r>
              <w:rPr>
                <w:sz w:val="18"/>
              </w:rPr>
              <w:t>A1</w:t>
            </w:r>
          </w:p>
        </w:tc>
        <w:tc>
          <w:tcPr>
            <w:tcW w:w="0" w:type="auto"/>
            <w:tcBorders>
              <w:bottom w:val="single" w:sz="4" w:space="0" w:color="auto"/>
            </w:tcBorders>
            <w:shd w:val="clear" w:color="auto" w:fill="auto"/>
            <w:vAlign w:val="center"/>
          </w:tcPr>
          <w:p>
            <w:pPr>
              <w:jc w:val="right"/>
              <w:rPr>
                <w:sz w:val="18"/>
              </w:rPr>
            </w:pPr>
            <w:r>
              <w:rPr>
                <w:sz w:val="18"/>
              </w:rPr>
              <w:t>A2</w:t>
            </w:r>
          </w:p>
        </w:tc>
        <w:tc>
          <w:tcPr>
            <w:tcW w:w="0" w:type="auto"/>
            <w:tcBorders>
              <w:bottom w:val="single" w:sz="4" w:space="0" w:color="auto"/>
            </w:tcBorders>
            <w:shd w:val="clear" w:color="auto" w:fill="auto"/>
            <w:vAlign w:val="center"/>
          </w:tcPr>
          <w:p>
            <w:pPr>
              <w:jc w:val="right"/>
              <w:rPr>
                <w:sz w:val="18"/>
              </w:rPr>
            </w:pPr>
            <w:r>
              <w:rPr>
                <w:sz w:val="18"/>
              </w:rPr>
              <w:t>B1</w:t>
            </w:r>
          </w:p>
        </w:tc>
        <w:tc>
          <w:tcPr>
            <w:tcW w:w="0" w:type="auto"/>
            <w:tcBorders>
              <w:bottom w:val="single" w:sz="4" w:space="0" w:color="auto"/>
            </w:tcBorders>
            <w:shd w:val="clear" w:color="auto" w:fill="auto"/>
            <w:vAlign w:val="center"/>
          </w:tcPr>
          <w:p>
            <w:pPr>
              <w:jc w:val="right"/>
              <w:rPr>
                <w:sz w:val="18"/>
              </w:rPr>
            </w:pPr>
            <w:r>
              <w:rPr>
                <w:sz w:val="18"/>
              </w:rPr>
              <w:t>B2</w:t>
            </w:r>
          </w:p>
        </w:tc>
        <w:tc>
          <w:tcPr>
            <w:tcW w:w="0" w:type="auto"/>
            <w:tcBorders>
              <w:bottom w:val="single" w:sz="4" w:space="0" w:color="auto"/>
            </w:tcBorders>
            <w:shd w:val="clear" w:color="auto" w:fill="auto"/>
            <w:vAlign w:val="center"/>
          </w:tcPr>
          <w:p>
            <w:pPr>
              <w:jc w:val="right"/>
              <w:rPr>
                <w:sz w:val="18"/>
              </w:rPr>
            </w:pPr>
            <w:r>
              <w:rPr>
                <w:sz w:val="18"/>
              </w:rPr>
              <w:t>C1</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C2</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A2 and less</w:t>
            </w:r>
          </w:p>
        </w:tc>
        <w:tc>
          <w:tcPr>
            <w:tcW w:w="0" w:type="auto"/>
            <w:tcBorders>
              <w:bottom w:val="single" w:sz="4" w:space="0" w:color="auto"/>
            </w:tcBorders>
            <w:shd w:val="clear" w:color="auto" w:fill="auto"/>
            <w:vAlign w:val="center"/>
          </w:tcPr>
          <w:p>
            <w:pPr>
              <w:jc w:val="right"/>
              <w:rPr>
                <w:sz w:val="18"/>
              </w:rPr>
            </w:pPr>
            <w:r>
              <w:rPr>
                <w:sz w:val="18"/>
              </w:rPr>
              <w:t>B1 and less</w:t>
            </w:r>
          </w:p>
        </w:tc>
        <w:tc>
          <w:tcPr>
            <w:tcW w:w="0" w:type="auto"/>
            <w:tcBorders>
              <w:bottom w:val="single" w:sz="4" w:space="0" w:color="auto"/>
            </w:tcBorders>
            <w:shd w:val="clear" w:color="auto" w:fill="auto"/>
            <w:vAlign w:val="center"/>
          </w:tcPr>
          <w:p>
            <w:pPr>
              <w:jc w:val="right"/>
              <w:rPr>
                <w:sz w:val="18"/>
              </w:rPr>
            </w:pPr>
            <w:r>
              <w:rPr>
                <w:sz w:val="18"/>
              </w:rPr>
              <w:t>B2 and more</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all LA1</w:t>
            </w:r>
          </w:p>
        </w:tc>
        <w:tc>
          <w:tcPr>
            <w:tcW w:w="0" w:type="auto"/>
            <w:tcBorders>
              <w:top w:val="single" w:sz="4" w:space="0" w:color="auto"/>
            </w:tcBorders>
            <w:shd w:val="clear" w:color="auto" w:fill="auto"/>
            <w:vAlign w:val="center"/>
          </w:tcPr>
          <w:p>
            <w:pPr>
              <w:jc w:val="right"/>
              <w:rPr>
                <w:sz w:val="18"/>
              </w:rPr>
            </w:pPr>
            <w:r>
              <w:rPr>
                <w:sz w:val="18"/>
              </w:rPr>
              <w:t xml:space="preserve"> 4,6%</w:t>
            </w:r>
          </w:p>
        </w:tc>
        <w:tc>
          <w:tcPr>
            <w:tcW w:w="0" w:type="auto"/>
            <w:tcBorders>
              <w:top w:val="single" w:sz="4" w:space="0" w:color="auto"/>
            </w:tcBorders>
            <w:shd w:val="clear" w:color="auto" w:fill="auto"/>
            <w:vAlign w:val="center"/>
          </w:tcPr>
          <w:p>
            <w:pPr>
              <w:jc w:val="right"/>
              <w:rPr>
                <w:sz w:val="18"/>
              </w:rPr>
            </w:pPr>
            <w:r>
              <w:rPr>
                <w:sz w:val="18"/>
              </w:rPr>
              <w:t xml:space="preserve"> 9,6%</w:t>
            </w:r>
          </w:p>
        </w:tc>
        <w:tc>
          <w:tcPr>
            <w:tcW w:w="0" w:type="auto"/>
            <w:tcBorders>
              <w:top w:val="single" w:sz="4" w:space="0" w:color="auto"/>
            </w:tcBorders>
            <w:shd w:val="clear" w:color="auto" w:fill="auto"/>
            <w:vAlign w:val="center"/>
          </w:tcPr>
          <w:p>
            <w:pPr>
              <w:jc w:val="right"/>
              <w:rPr>
                <w:sz w:val="18"/>
              </w:rPr>
            </w:pPr>
            <w:r>
              <w:rPr>
                <w:sz w:val="18"/>
              </w:rPr>
              <w:t>17,2%</w:t>
            </w:r>
          </w:p>
        </w:tc>
        <w:tc>
          <w:tcPr>
            <w:tcW w:w="0" w:type="auto"/>
            <w:tcBorders>
              <w:top w:val="single" w:sz="4" w:space="0" w:color="auto"/>
            </w:tcBorders>
            <w:shd w:val="clear" w:color="auto" w:fill="auto"/>
            <w:vAlign w:val="center"/>
          </w:tcPr>
          <w:p>
            <w:pPr>
              <w:jc w:val="right"/>
              <w:rPr>
                <w:sz w:val="18"/>
              </w:rPr>
            </w:pPr>
            <w:r>
              <w:rPr>
                <w:sz w:val="18"/>
              </w:rPr>
              <w:t>27,0%</w:t>
            </w:r>
          </w:p>
        </w:tc>
        <w:tc>
          <w:tcPr>
            <w:tcW w:w="0" w:type="auto"/>
            <w:tcBorders>
              <w:top w:val="single" w:sz="4" w:space="0" w:color="auto"/>
            </w:tcBorders>
            <w:shd w:val="clear" w:color="auto" w:fill="auto"/>
            <w:vAlign w:val="center"/>
          </w:tcPr>
          <w:p>
            <w:pPr>
              <w:jc w:val="right"/>
              <w:rPr>
                <w:sz w:val="18"/>
              </w:rPr>
            </w:pPr>
            <w:r>
              <w:rPr>
                <w:sz w:val="18"/>
              </w:rPr>
              <w:t>25,7%</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15,9%</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14,2%</w:t>
            </w:r>
          </w:p>
        </w:tc>
        <w:tc>
          <w:tcPr>
            <w:tcW w:w="0" w:type="auto"/>
            <w:tcBorders>
              <w:top w:val="single" w:sz="4" w:space="0" w:color="auto"/>
            </w:tcBorders>
            <w:shd w:val="clear" w:color="auto" w:fill="auto"/>
            <w:vAlign w:val="center"/>
          </w:tcPr>
          <w:p>
            <w:pPr>
              <w:jc w:val="right"/>
              <w:rPr>
                <w:sz w:val="18"/>
              </w:rPr>
            </w:pPr>
            <w:r>
              <w:rPr>
                <w:sz w:val="18"/>
              </w:rPr>
              <w:t>31,4%</w:t>
            </w:r>
          </w:p>
        </w:tc>
        <w:tc>
          <w:tcPr>
            <w:tcW w:w="0" w:type="auto"/>
            <w:tcBorders>
              <w:top w:val="single" w:sz="4" w:space="0" w:color="auto"/>
            </w:tcBorders>
            <w:shd w:val="clear" w:color="auto" w:fill="auto"/>
            <w:vAlign w:val="center"/>
          </w:tcPr>
          <w:p>
            <w:pPr>
              <w:jc w:val="right"/>
              <w:rPr>
                <w:sz w:val="18"/>
              </w:rPr>
            </w:pPr>
            <w:r>
              <w:rPr>
                <w:sz w:val="18"/>
              </w:rPr>
              <w:t>68,6%</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all LA2</w:t>
            </w:r>
          </w:p>
        </w:tc>
        <w:tc>
          <w:tcPr>
            <w:tcW w:w="0" w:type="auto"/>
            <w:tcBorders>
              <w:bottom w:val="single" w:sz="4" w:space="0" w:color="auto"/>
            </w:tcBorders>
            <w:shd w:val="clear" w:color="auto" w:fill="auto"/>
            <w:vAlign w:val="center"/>
          </w:tcPr>
          <w:p>
            <w:pPr>
              <w:jc w:val="right"/>
              <w:rPr>
                <w:sz w:val="18"/>
              </w:rPr>
            </w:pPr>
            <w:r>
              <w:rPr>
                <w:sz w:val="18"/>
              </w:rPr>
              <w:t xml:space="preserve"> 0,8%</w:t>
            </w:r>
          </w:p>
        </w:tc>
        <w:tc>
          <w:tcPr>
            <w:tcW w:w="0" w:type="auto"/>
            <w:tcBorders>
              <w:bottom w:val="single" w:sz="4" w:space="0" w:color="auto"/>
            </w:tcBorders>
            <w:shd w:val="clear" w:color="auto" w:fill="auto"/>
            <w:vAlign w:val="center"/>
          </w:tcPr>
          <w:p>
            <w:pPr>
              <w:jc w:val="right"/>
              <w:rPr>
                <w:sz w:val="18"/>
              </w:rPr>
            </w:pPr>
            <w:r>
              <w:rPr>
                <w:sz w:val="18"/>
              </w:rPr>
              <w:t xml:space="preserve"> 4,0%</w:t>
            </w:r>
          </w:p>
        </w:tc>
        <w:tc>
          <w:tcPr>
            <w:tcW w:w="0" w:type="auto"/>
            <w:tcBorders>
              <w:bottom w:val="single" w:sz="4" w:space="0" w:color="auto"/>
            </w:tcBorders>
            <w:shd w:val="clear" w:color="auto" w:fill="auto"/>
            <w:vAlign w:val="center"/>
          </w:tcPr>
          <w:p>
            <w:pPr>
              <w:jc w:val="right"/>
              <w:rPr>
                <w:sz w:val="18"/>
              </w:rPr>
            </w:pPr>
            <w:r>
              <w:rPr>
                <w:sz w:val="18"/>
              </w:rPr>
              <w:t>12,0%</w:t>
            </w:r>
          </w:p>
        </w:tc>
        <w:tc>
          <w:tcPr>
            <w:tcW w:w="0" w:type="auto"/>
            <w:tcBorders>
              <w:bottom w:val="single" w:sz="4" w:space="0" w:color="auto"/>
            </w:tcBorders>
            <w:shd w:val="clear" w:color="auto" w:fill="auto"/>
            <w:vAlign w:val="center"/>
          </w:tcPr>
          <w:p>
            <w:pPr>
              <w:jc w:val="right"/>
              <w:rPr>
                <w:sz w:val="18"/>
              </w:rPr>
            </w:pPr>
            <w:r>
              <w:rPr>
                <w:sz w:val="18"/>
              </w:rPr>
              <w:t>27,0%</w:t>
            </w:r>
          </w:p>
        </w:tc>
        <w:tc>
          <w:tcPr>
            <w:tcW w:w="0" w:type="auto"/>
            <w:tcBorders>
              <w:bottom w:val="single" w:sz="4" w:space="0" w:color="auto"/>
            </w:tcBorders>
            <w:shd w:val="clear" w:color="auto" w:fill="auto"/>
            <w:vAlign w:val="center"/>
          </w:tcPr>
          <w:p>
            <w:pPr>
              <w:jc w:val="right"/>
              <w:rPr>
                <w:sz w:val="18"/>
              </w:rPr>
            </w:pPr>
            <w:r>
              <w:rPr>
                <w:sz w:val="18"/>
              </w:rPr>
              <w:t>32,0%</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24,2%</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4,8%</w:t>
            </w:r>
          </w:p>
        </w:tc>
        <w:tc>
          <w:tcPr>
            <w:tcW w:w="0" w:type="auto"/>
            <w:tcBorders>
              <w:bottom w:val="single" w:sz="4" w:space="0" w:color="auto"/>
            </w:tcBorders>
            <w:shd w:val="clear" w:color="auto" w:fill="auto"/>
            <w:vAlign w:val="center"/>
          </w:tcPr>
          <w:p>
            <w:pPr>
              <w:jc w:val="right"/>
              <w:rPr>
                <w:sz w:val="18"/>
              </w:rPr>
            </w:pPr>
            <w:r>
              <w:rPr>
                <w:sz w:val="18"/>
              </w:rPr>
              <w:t>16,8%</w:t>
            </w:r>
          </w:p>
        </w:tc>
        <w:tc>
          <w:tcPr>
            <w:tcW w:w="0" w:type="auto"/>
            <w:tcBorders>
              <w:bottom w:val="single" w:sz="4" w:space="0" w:color="auto"/>
            </w:tcBorders>
            <w:shd w:val="clear" w:color="auto" w:fill="auto"/>
            <w:vAlign w:val="center"/>
          </w:tcPr>
          <w:p>
            <w:pPr>
              <w:jc w:val="right"/>
              <w:rPr>
                <w:sz w:val="18"/>
              </w:rPr>
            </w:pPr>
            <w:r>
              <w:rPr>
                <w:sz w:val="18"/>
              </w:rPr>
              <w:t>83,2%</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DE LA1</w:t>
            </w:r>
          </w:p>
        </w:tc>
        <w:tc>
          <w:tcPr>
            <w:tcW w:w="0" w:type="auto"/>
            <w:tcBorders>
              <w:top w:val="single" w:sz="4" w:space="0" w:color="auto"/>
            </w:tcBorders>
            <w:shd w:val="clear" w:color="auto" w:fill="auto"/>
            <w:vAlign w:val="center"/>
          </w:tcPr>
          <w:p>
            <w:pPr>
              <w:jc w:val="right"/>
              <w:rPr>
                <w:sz w:val="18"/>
              </w:rPr>
            </w:pPr>
            <w:r>
              <w:rPr>
                <w:sz w:val="18"/>
              </w:rPr>
              <w:t xml:space="preserve"> 6,4%</w:t>
            </w:r>
          </w:p>
        </w:tc>
        <w:tc>
          <w:tcPr>
            <w:tcW w:w="0" w:type="auto"/>
            <w:tcBorders>
              <w:top w:val="single" w:sz="4" w:space="0" w:color="auto"/>
            </w:tcBorders>
            <w:shd w:val="clear" w:color="auto" w:fill="auto"/>
            <w:vAlign w:val="center"/>
          </w:tcPr>
          <w:p>
            <w:pPr>
              <w:jc w:val="right"/>
              <w:rPr>
                <w:sz w:val="18"/>
              </w:rPr>
            </w:pPr>
            <w:r>
              <w:rPr>
                <w:sz w:val="18"/>
              </w:rPr>
              <w:t xml:space="preserve"> 7,8%</w:t>
            </w:r>
          </w:p>
        </w:tc>
        <w:tc>
          <w:tcPr>
            <w:tcW w:w="0" w:type="auto"/>
            <w:tcBorders>
              <w:top w:val="single" w:sz="4" w:space="0" w:color="auto"/>
            </w:tcBorders>
            <w:shd w:val="clear" w:color="auto" w:fill="auto"/>
            <w:vAlign w:val="center"/>
          </w:tcPr>
          <w:p>
            <w:pPr>
              <w:jc w:val="right"/>
              <w:rPr>
                <w:sz w:val="18"/>
              </w:rPr>
            </w:pPr>
            <w:r>
              <w:rPr>
                <w:sz w:val="18"/>
              </w:rPr>
              <w:t>20,6%</w:t>
            </w:r>
          </w:p>
        </w:tc>
        <w:tc>
          <w:tcPr>
            <w:tcW w:w="0" w:type="auto"/>
            <w:tcBorders>
              <w:top w:val="single" w:sz="4" w:space="0" w:color="auto"/>
            </w:tcBorders>
            <w:shd w:val="clear" w:color="auto" w:fill="auto"/>
            <w:vAlign w:val="center"/>
          </w:tcPr>
          <w:p>
            <w:pPr>
              <w:jc w:val="right"/>
              <w:rPr>
                <w:sz w:val="18"/>
              </w:rPr>
            </w:pPr>
            <w:r>
              <w:rPr>
                <w:sz w:val="18"/>
              </w:rPr>
              <w:t>32,0%</w:t>
            </w:r>
          </w:p>
        </w:tc>
        <w:tc>
          <w:tcPr>
            <w:tcW w:w="0" w:type="auto"/>
            <w:tcBorders>
              <w:top w:val="single" w:sz="4" w:space="0" w:color="auto"/>
            </w:tcBorders>
            <w:shd w:val="clear" w:color="auto" w:fill="auto"/>
            <w:vAlign w:val="center"/>
          </w:tcPr>
          <w:p>
            <w:pPr>
              <w:jc w:val="right"/>
              <w:rPr>
                <w:sz w:val="18"/>
              </w:rPr>
            </w:pPr>
            <w:r>
              <w:rPr>
                <w:sz w:val="18"/>
              </w:rPr>
              <w:t>18,7%</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14,5%</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14,2%</w:t>
            </w:r>
          </w:p>
        </w:tc>
        <w:tc>
          <w:tcPr>
            <w:tcW w:w="0" w:type="auto"/>
            <w:tcBorders>
              <w:top w:val="single" w:sz="4" w:space="0" w:color="auto"/>
            </w:tcBorders>
            <w:shd w:val="clear" w:color="auto" w:fill="auto"/>
            <w:vAlign w:val="center"/>
          </w:tcPr>
          <w:p>
            <w:pPr>
              <w:jc w:val="right"/>
              <w:rPr>
                <w:sz w:val="18"/>
              </w:rPr>
            </w:pPr>
            <w:r>
              <w:rPr>
                <w:sz w:val="18"/>
              </w:rPr>
              <w:t>34,8%</w:t>
            </w:r>
          </w:p>
        </w:tc>
        <w:tc>
          <w:tcPr>
            <w:tcW w:w="0" w:type="auto"/>
            <w:tcBorders>
              <w:top w:val="single" w:sz="4" w:space="0" w:color="auto"/>
            </w:tcBorders>
            <w:shd w:val="clear" w:color="auto" w:fill="auto"/>
            <w:vAlign w:val="center"/>
          </w:tcPr>
          <w:p>
            <w:pPr>
              <w:jc w:val="right"/>
              <w:rPr>
                <w:sz w:val="18"/>
              </w:rPr>
            </w:pPr>
            <w:r>
              <w:rPr>
                <w:sz w:val="18"/>
              </w:rPr>
              <w:t>65,2%</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DE LA2</w:t>
            </w:r>
          </w:p>
        </w:tc>
        <w:tc>
          <w:tcPr>
            <w:tcW w:w="0" w:type="auto"/>
            <w:tcBorders>
              <w:bottom w:val="single" w:sz="4" w:space="0" w:color="auto"/>
            </w:tcBorders>
            <w:shd w:val="clear" w:color="auto" w:fill="auto"/>
            <w:vAlign w:val="center"/>
          </w:tcPr>
          <w:p>
            <w:pPr>
              <w:jc w:val="right"/>
              <w:rPr>
                <w:sz w:val="18"/>
              </w:rPr>
            </w:pPr>
            <w:r>
              <w:rPr>
                <w:sz w:val="18"/>
              </w:rPr>
              <w:t xml:space="preserve"> 1,4%</w:t>
            </w:r>
          </w:p>
        </w:tc>
        <w:tc>
          <w:tcPr>
            <w:tcW w:w="0" w:type="auto"/>
            <w:tcBorders>
              <w:bottom w:val="single" w:sz="4" w:space="0" w:color="auto"/>
            </w:tcBorders>
            <w:shd w:val="clear" w:color="auto" w:fill="auto"/>
            <w:vAlign w:val="center"/>
          </w:tcPr>
          <w:p>
            <w:pPr>
              <w:jc w:val="right"/>
              <w:rPr>
                <w:sz w:val="18"/>
              </w:rPr>
            </w:pPr>
            <w:r>
              <w:rPr>
                <w:sz w:val="18"/>
              </w:rPr>
              <w:t xml:space="preserve"> 3,9%</w:t>
            </w:r>
          </w:p>
        </w:tc>
        <w:tc>
          <w:tcPr>
            <w:tcW w:w="0" w:type="auto"/>
            <w:tcBorders>
              <w:bottom w:val="single" w:sz="4" w:space="0" w:color="auto"/>
            </w:tcBorders>
            <w:shd w:val="clear" w:color="auto" w:fill="auto"/>
            <w:vAlign w:val="center"/>
          </w:tcPr>
          <w:p>
            <w:pPr>
              <w:jc w:val="right"/>
              <w:rPr>
                <w:sz w:val="18"/>
              </w:rPr>
            </w:pPr>
            <w:r>
              <w:rPr>
                <w:sz w:val="18"/>
              </w:rPr>
              <w:t xml:space="preserve"> 8,6%</w:t>
            </w:r>
          </w:p>
        </w:tc>
        <w:tc>
          <w:tcPr>
            <w:tcW w:w="0" w:type="auto"/>
            <w:tcBorders>
              <w:bottom w:val="single" w:sz="4" w:space="0" w:color="auto"/>
            </w:tcBorders>
            <w:shd w:val="clear" w:color="auto" w:fill="auto"/>
            <w:vAlign w:val="center"/>
          </w:tcPr>
          <w:p>
            <w:pPr>
              <w:jc w:val="right"/>
              <w:rPr>
                <w:sz w:val="18"/>
              </w:rPr>
            </w:pPr>
            <w:r>
              <w:rPr>
                <w:sz w:val="18"/>
              </w:rPr>
              <w:t>29,0%</w:t>
            </w:r>
          </w:p>
        </w:tc>
        <w:tc>
          <w:tcPr>
            <w:tcW w:w="0" w:type="auto"/>
            <w:tcBorders>
              <w:bottom w:val="single" w:sz="4" w:space="0" w:color="auto"/>
            </w:tcBorders>
            <w:shd w:val="clear" w:color="auto" w:fill="auto"/>
            <w:vAlign w:val="center"/>
          </w:tcPr>
          <w:p>
            <w:pPr>
              <w:jc w:val="right"/>
              <w:rPr>
                <w:sz w:val="18"/>
              </w:rPr>
            </w:pPr>
            <w:r>
              <w:rPr>
                <w:sz w:val="18"/>
              </w:rPr>
              <w:t>31,8%</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25,3%</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5,3%</w:t>
            </w:r>
          </w:p>
        </w:tc>
        <w:tc>
          <w:tcPr>
            <w:tcW w:w="0" w:type="auto"/>
            <w:tcBorders>
              <w:bottom w:val="single" w:sz="4" w:space="0" w:color="auto"/>
            </w:tcBorders>
            <w:shd w:val="clear" w:color="auto" w:fill="auto"/>
            <w:vAlign w:val="center"/>
          </w:tcPr>
          <w:p>
            <w:pPr>
              <w:jc w:val="right"/>
              <w:rPr>
                <w:sz w:val="18"/>
              </w:rPr>
            </w:pPr>
            <w:r>
              <w:rPr>
                <w:sz w:val="18"/>
              </w:rPr>
              <w:t>13,9%</w:t>
            </w:r>
          </w:p>
        </w:tc>
        <w:tc>
          <w:tcPr>
            <w:tcW w:w="0" w:type="auto"/>
            <w:tcBorders>
              <w:bottom w:val="single" w:sz="4" w:space="0" w:color="auto"/>
            </w:tcBorders>
            <w:shd w:val="clear" w:color="auto" w:fill="auto"/>
            <w:vAlign w:val="center"/>
          </w:tcPr>
          <w:p>
            <w:pPr>
              <w:jc w:val="right"/>
              <w:rPr>
                <w:sz w:val="18"/>
              </w:rPr>
            </w:pPr>
            <w:r>
              <w:rPr>
                <w:sz w:val="18"/>
              </w:rPr>
              <w:t>86,1%</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EN LA1</w:t>
            </w:r>
          </w:p>
        </w:tc>
        <w:tc>
          <w:tcPr>
            <w:tcW w:w="0" w:type="auto"/>
            <w:tcBorders>
              <w:top w:val="single" w:sz="4" w:space="0" w:color="auto"/>
            </w:tcBorders>
            <w:shd w:val="clear" w:color="auto" w:fill="auto"/>
            <w:vAlign w:val="center"/>
          </w:tcPr>
          <w:p>
            <w:pPr>
              <w:jc w:val="right"/>
              <w:rPr>
                <w:sz w:val="18"/>
              </w:rPr>
            </w:pPr>
            <w:r>
              <w:rPr>
                <w:sz w:val="18"/>
              </w:rPr>
              <w:t xml:space="preserve"> 0,2%</w:t>
            </w:r>
          </w:p>
        </w:tc>
        <w:tc>
          <w:tcPr>
            <w:tcW w:w="0" w:type="auto"/>
            <w:tcBorders>
              <w:top w:val="single" w:sz="4" w:space="0" w:color="auto"/>
            </w:tcBorders>
            <w:shd w:val="clear" w:color="auto" w:fill="auto"/>
            <w:vAlign w:val="center"/>
          </w:tcPr>
          <w:p>
            <w:pPr>
              <w:jc w:val="right"/>
              <w:rPr>
                <w:sz w:val="18"/>
              </w:rPr>
            </w:pPr>
            <w:r>
              <w:rPr>
                <w:sz w:val="18"/>
              </w:rPr>
              <w:t xml:space="preserve"> 2,8%</w:t>
            </w:r>
          </w:p>
        </w:tc>
        <w:tc>
          <w:tcPr>
            <w:tcW w:w="0" w:type="auto"/>
            <w:tcBorders>
              <w:top w:val="single" w:sz="4" w:space="0" w:color="auto"/>
            </w:tcBorders>
            <w:shd w:val="clear" w:color="auto" w:fill="auto"/>
            <w:vAlign w:val="center"/>
          </w:tcPr>
          <w:p>
            <w:pPr>
              <w:jc w:val="right"/>
              <w:rPr>
                <w:sz w:val="18"/>
              </w:rPr>
            </w:pPr>
            <w:r>
              <w:rPr>
                <w:sz w:val="18"/>
              </w:rPr>
              <w:t>15,4%</w:t>
            </w:r>
          </w:p>
        </w:tc>
        <w:tc>
          <w:tcPr>
            <w:tcW w:w="0" w:type="auto"/>
            <w:tcBorders>
              <w:top w:val="single" w:sz="4" w:space="0" w:color="auto"/>
            </w:tcBorders>
            <w:shd w:val="clear" w:color="auto" w:fill="auto"/>
            <w:vAlign w:val="center"/>
          </w:tcPr>
          <w:p>
            <w:pPr>
              <w:jc w:val="right"/>
              <w:rPr>
                <w:sz w:val="18"/>
              </w:rPr>
            </w:pPr>
            <w:r>
              <w:rPr>
                <w:sz w:val="18"/>
              </w:rPr>
              <w:t>31,3%</w:t>
            </w:r>
          </w:p>
        </w:tc>
        <w:tc>
          <w:tcPr>
            <w:tcW w:w="0" w:type="auto"/>
            <w:tcBorders>
              <w:top w:val="single" w:sz="4" w:space="0" w:color="auto"/>
            </w:tcBorders>
            <w:shd w:val="clear" w:color="auto" w:fill="auto"/>
            <w:vAlign w:val="center"/>
          </w:tcPr>
          <w:p>
            <w:pPr>
              <w:jc w:val="right"/>
              <w:rPr>
                <w:sz w:val="18"/>
              </w:rPr>
            </w:pPr>
            <w:r>
              <w:rPr>
                <w:sz w:val="18"/>
              </w:rPr>
              <w:t>30,4%</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19,9%</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 xml:space="preserve"> 3,0%</w:t>
            </w:r>
          </w:p>
        </w:tc>
        <w:tc>
          <w:tcPr>
            <w:tcW w:w="0" w:type="auto"/>
            <w:tcBorders>
              <w:top w:val="single" w:sz="4" w:space="0" w:color="auto"/>
            </w:tcBorders>
            <w:shd w:val="clear" w:color="auto" w:fill="auto"/>
            <w:vAlign w:val="center"/>
          </w:tcPr>
          <w:p>
            <w:pPr>
              <w:jc w:val="right"/>
              <w:rPr>
                <w:sz w:val="18"/>
              </w:rPr>
            </w:pPr>
            <w:r>
              <w:rPr>
                <w:sz w:val="18"/>
              </w:rPr>
              <w:t>18,4%</w:t>
            </w:r>
          </w:p>
        </w:tc>
        <w:tc>
          <w:tcPr>
            <w:tcW w:w="0" w:type="auto"/>
            <w:tcBorders>
              <w:top w:val="single" w:sz="4" w:space="0" w:color="auto"/>
            </w:tcBorders>
            <w:shd w:val="clear" w:color="auto" w:fill="auto"/>
            <w:vAlign w:val="center"/>
          </w:tcPr>
          <w:p>
            <w:pPr>
              <w:jc w:val="right"/>
              <w:rPr>
                <w:sz w:val="18"/>
              </w:rPr>
            </w:pPr>
            <w:r>
              <w:rPr>
                <w:sz w:val="18"/>
              </w:rPr>
              <w:t>81,6%</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EN LA2</w:t>
            </w:r>
          </w:p>
        </w:tc>
        <w:tc>
          <w:tcPr>
            <w:tcW w:w="0" w:type="auto"/>
            <w:tcBorders>
              <w:bottom w:val="single" w:sz="4" w:space="0" w:color="auto"/>
            </w:tcBorders>
            <w:shd w:val="clear" w:color="auto" w:fill="auto"/>
            <w:vAlign w:val="center"/>
          </w:tcPr>
          <w:p>
            <w:pPr>
              <w:jc w:val="right"/>
              <w:rPr>
                <w:sz w:val="18"/>
              </w:rPr>
            </w:pPr>
            <w:r>
              <w:rPr>
                <w:sz w:val="18"/>
              </w:rPr>
              <w:t xml:space="preserve"> 0,2%</w:t>
            </w:r>
          </w:p>
        </w:tc>
        <w:tc>
          <w:tcPr>
            <w:tcW w:w="0" w:type="auto"/>
            <w:tcBorders>
              <w:bottom w:val="single" w:sz="4" w:space="0" w:color="auto"/>
            </w:tcBorders>
            <w:shd w:val="clear" w:color="auto" w:fill="auto"/>
            <w:vAlign w:val="center"/>
          </w:tcPr>
          <w:p>
            <w:pPr>
              <w:jc w:val="right"/>
              <w:rPr>
                <w:sz w:val="18"/>
              </w:rPr>
            </w:pPr>
            <w:r>
              <w:rPr>
                <w:sz w:val="18"/>
              </w:rPr>
              <w:t xml:space="preserve"> 1,3%</w:t>
            </w:r>
          </w:p>
        </w:tc>
        <w:tc>
          <w:tcPr>
            <w:tcW w:w="0" w:type="auto"/>
            <w:tcBorders>
              <w:bottom w:val="single" w:sz="4" w:space="0" w:color="auto"/>
            </w:tcBorders>
            <w:shd w:val="clear" w:color="auto" w:fill="auto"/>
            <w:vAlign w:val="center"/>
          </w:tcPr>
          <w:p>
            <w:pPr>
              <w:jc w:val="right"/>
              <w:rPr>
                <w:sz w:val="18"/>
              </w:rPr>
            </w:pPr>
            <w:r>
              <w:rPr>
                <w:sz w:val="18"/>
              </w:rPr>
              <w:t xml:space="preserve"> 9,3%</w:t>
            </w:r>
          </w:p>
        </w:tc>
        <w:tc>
          <w:tcPr>
            <w:tcW w:w="0" w:type="auto"/>
            <w:tcBorders>
              <w:bottom w:val="single" w:sz="4" w:space="0" w:color="auto"/>
            </w:tcBorders>
            <w:shd w:val="clear" w:color="auto" w:fill="auto"/>
            <w:vAlign w:val="center"/>
          </w:tcPr>
          <w:p>
            <w:pPr>
              <w:jc w:val="right"/>
              <w:rPr>
                <w:sz w:val="18"/>
              </w:rPr>
            </w:pPr>
            <w:r>
              <w:rPr>
                <w:sz w:val="18"/>
              </w:rPr>
              <w:t>28,2%</w:t>
            </w:r>
          </w:p>
        </w:tc>
        <w:tc>
          <w:tcPr>
            <w:tcW w:w="0" w:type="auto"/>
            <w:tcBorders>
              <w:bottom w:val="single" w:sz="4" w:space="0" w:color="auto"/>
            </w:tcBorders>
            <w:shd w:val="clear" w:color="auto" w:fill="auto"/>
            <w:vAlign w:val="center"/>
          </w:tcPr>
          <w:p>
            <w:pPr>
              <w:jc w:val="right"/>
              <w:rPr>
                <w:sz w:val="18"/>
              </w:rPr>
            </w:pPr>
            <w:r>
              <w:rPr>
                <w:sz w:val="18"/>
              </w:rPr>
              <w:t>34,4%</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26,7%</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1,5%</w:t>
            </w:r>
          </w:p>
        </w:tc>
        <w:tc>
          <w:tcPr>
            <w:tcW w:w="0" w:type="auto"/>
            <w:tcBorders>
              <w:bottom w:val="single" w:sz="4" w:space="0" w:color="auto"/>
            </w:tcBorders>
            <w:shd w:val="clear" w:color="auto" w:fill="auto"/>
            <w:vAlign w:val="center"/>
          </w:tcPr>
          <w:p>
            <w:pPr>
              <w:jc w:val="right"/>
              <w:rPr>
                <w:sz w:val="18"/>
              </w:rPr>
            </w:pPr>
            <w:r>
              <w:rPr>
                <w:sz w:val="18"/>
              </w:rPr>
              <w:t>10,7%</w:t>
            </w:r>
          </w:p>
        </w:tc>
        <w:tc>
          <w:tcPr>
            <w:tcW w:w="0" w:type="auto"/>
            <w:tcBorders>
              <w:bottom w:val="single" w:sz="4" w:space="0" w:color="auto"/>
            </w:tcBorders>
            <w:shd w:val="clear" w:color="auto" w:fill="auto"/>
            <w:vAlign w:val="center"/>
          </w:tcPr>
          <w:p>
            <w:pPr>
              <w:jc w:val="right"/>
              <w:rPr>
                <w:sz w:val="18"/>
              </w:rPr>
            </w:pPr>
            <w:r>
              <w:rPr>
                <w:sz w:val="18"/>
              </w:rPr>
              <w:t>89,3%</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ES LA1</w:t>
            </w:r>
          </w:p>
        </w:tc>
        <w:tc>
          <w:tcPr>
            <w:tcW w:w="0" w:type="auto"/>
            <w:tcBorders>
              <w:top w:val="single" w:sz="4" w:space="0" w:color="auto"/>
            </w:tcBorders>
            <w:shd w:val="clear" w:color="auto" w:fill="auto"/>
            <w:vAlign w:val="center"/>
          </w:tcPr>
          <w:p>
            <w:pPr>
              <w:jc w:val="right"/>
              <w:rPr>
                <w:sz w:val="18"/>
              </w:rPr>
            </w:pPr>
            <w:r>
              <w:rPr>
                <w:sz w:val="18"/>
              </w:rPr>
              <w:t>13,1%</w:t>
            </w:r>
          </w:p>
        </w:tc>
        <w:tc>
          <w:tcPr>
            <w:tcW w:w="0" w:type="auto"/>
            <w:tcBorders>
              <w:top w:val="single" w:sz="4" w:space="0" w:color="auto"/>
            </w:tcBorders>
            <w:shd w:val="clear" w:color="auto" w:fill="auto"/>
            <w:vAlign w:val="center"/>
          </w:tcPr>
          <w:p>
            <w:pPr>
              <w:jc w:val="right"/>
              <w:rPr>
                <w:sz w:val="18"/>
              </w:rPr>
            </w:pPr>
            <w:r>
              <w:rPr>
                <w:sz w:val="18"/>
              </w:rPr>
              <w:t>25,9%</w:t>
            </w:r>
          </w:p>
        </w:tc>
        <w:tc>
          <w:tcPr>
            <w:tcW w:w="0" w:type="auto"/>
            <w:tcBorders>
              <w:top w:val="single" w:sz="4" w:space="0" w:color="auto"/>
            </w:tcBorders>
            <w:shd w:val="clear" w:color="auto" w:fill="auto"/>
            <w:vAlign w:val="center"/>
          </w:tcPr>
          <w:p>
            <w:pPr>
              <w:jc w:val="right"/>
              <w:rPr>
                <w:sz w:val="18"/>
              </w:rPr>
            </w:pPr>
            <w:r>
              <w:rPr>
                <w:sz w:val="18"/>
              </w:rPr>
              <w:t>20,9%</w:t>
            </w:r>
          </w:p>
        </w:tc>
        <w:tc>
          <w:tcPr>
            <w:tcW w:w="0" w:type="auto"/>
            <w:tcBorders>
              <w:top w:val="single" w:sz="4" w:space="0" w:color="auto"/>
            </w:tcBorders>
            <w:shd w:val="clear" w:color="auto" w:fill="auto"/>
            <w:vAlign w:val="center"/>
          </w:tcPr>
          <w:p>
            <w:pPr>
              <w:jc w:val="right"/>
              <w:rPr>
                <w:sz w:val="18"/>
              </w:rPr>
            </w:pPr>
            <w:r>
              <w:rPr>
                <w:sz w:val="18"/>
              </w:rPr>
              <w:t>16,7%</w:t>
            </w:r>
          </w:p>
        </w:tc>
        <w:tc>
          <w:tcPr>
            <w:tcW w:w="0" w:type="auto"/>
            <w:tcBorders>
              <w:top w:val="single" w:sz="4" w:space="0" w:color="auto"/>
            </w:tcBorders>
            <w:shd w:val="clear" w:color="auto" w:fill="auto"/>
            <w:vAlign w:val="center"/>
          </w:tcPr>
          <w:p>
            <w:pPr>
              <w:jc w:val="right"/>
              <w:rPr>
                <w:sz w:val="18"/>
              </w:rPr>
            </w:pPr>
            <w:r>
              <w:rPr>
                <w:sz w:val="18"/>
              </w:rPr>
              <w:t>15,8%</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 xml:space="preserve"> 7,6%</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39,0%</w:t>
            </w:r>
          </w:p>
        </w:tc>
        <w:tc>
          <w:tcPr>
            <w:tcW w:w="0" w:type="auto"/>
            <w:tcBorders>
              <w:top w:val="single" w:sz="4" w:space="0" w:color="auto"/>
            </w:tcBorders>
            <w:shd w:val="clear" w:color="auto" w:fill="auto"/>
            <w:vAlign w:val="center"/>
          </w:tcPr>
          <w:p>
            <w:pPr>
              <w:jc w:val="right"/>
              <w:rPr>
                <w:sz w:val="18"/>
              </w:rPr>
            </w:pPr>
            <w:r>
              <w:rPr>
                <w:sz w:val="18"/>
              </w:rPr>
              <w:t>59,9%</w:t>
            </w:r>
          </w:p>
        </w:tc>
        <w:tc>
          <w:tcPr>
            <w:tcW w:w="0" w:type="auto"/>
            <w:tcBorders>
              <w:top w:val="single" w:sz="4" w:space="0" w:color="auto"/>
            </w:tcBorders>
            <w:shd w:val="clear" w:color="auto" w:fill="auto"/>
            <w:vAlign w:val="center"/>
          </w:tcPr>
          <w:p>
            <w:pPr>
              <w:jc w:val="right"/>
              <w:rPr>
                <w:sz w:val="18"/>
              </w:rPr>
            </w:pPr>
            <w:r>
              <w:rPr>
                <w:sz w:val="18"/>
              </w:rPr>
              <w:t>40,1%</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ES LA2</w:t>
            </w:r>
          </w:p>
        </w:tc>
        <w:tc>
          <w:tcPr>
            <w:tcW w:w="0" w:type="auto"/>
            <w:tcBorders>
              <w:bottom w:val="single" w:sz="4" w:space="0" w:color="auto"/>
            </w:tcBorders>
            <w:shd w:val="clear" w:color="auto" w:fill="auto"/>
            <w:vAlign w:val="center"/>
          </w:tcPr>
          <w:p>
            <w:pPr>
              <w:jc w:val="right"/>
              <w:rPr>
                <w:sz w:val="18"/>
              </w:rPr>
            </w:pPr>
            <w:r>
              <w:rPr>
                <w:sz w:val="18"/>
              </w:rPr>
              <w:t xml:space="preserve"> 1,6%</w:t>
            </w:r>
          </w:p>
        </w:tc>
        <w:tc>
          <w:tcPr>
            <w:tcW w:w="0" w:type="auto"/>
            <w:tcBorders>
              <w:bottom w:val="single" w:sz="4" w:space="0" w:color="auto"/>
            </w:tcBorders>
            <w:shd w:val="clear" w:color="auto" w:fill="auto"/>
            <w:vAlign w:val="center"/>
          </w:tcPr>
          <w:p>
            <w:pPr>
              <w:jc w:val="right"/>
              <w:rPr>
                <w:sz w:val="18"/>
              </w:rPr>
            </w:pPr>
            <w:r>
              <w:rPr>
                <w:sz w:val="18"/>
              </w:rPr>
              <w:t>10,4%</w:t>
            </w:r>
          </w:p>
        </w:tc>
        <w:tc>
          <w:tcPr>
            <w:tcW w:w="0" w:type="auto"/>
            <w:tcBorders>
              <w:bottom w:val="single" w:sz="4" w:space="0" w:color="auto"/>
            </w:tcBorders>
            <w:shd w:val="clear" w:color="auto" w:fill="auto"/>
            <w:vAlign w:val="center"/>
          </w:tcPr>
          <w:p>
            <w:pPr>
              <w:jc w:val="right"/>
              <w:rPr>
                <w:sz w:val="18"/>
              </w:rPr>
            </w:pPr>
            <w:r>
              <w:rPr>
                <w:sz w:val="18"/>
              </w:rPr>
              <w:t>20,5%</w:t>
            </w:r>
          </w:p>
        </w:tc>
        <w:tc>
          <w:tcPr>
            <w:tcW w:w="0" w:type="auto"/>
            <w:tcBorders>
              <w:bottom w:val="single" w:sz="4" w:space="0" w:color="auto"/>
            </w:tcBorders>
            <w:shd w:val="clear" w:color="auto" w:fill="auto"/>
            <w:vAlign w:val="center"/>
          </w:tcPr>
          <w:p>
            <w:pPr>
              <w:jc w:val="right"/>
              <w:rPr>
                <w:sz w:val="18"/>
              </w:rPr>
            </w:pPr>
            <w:r>
              <w:rPr>
                <w:sz w:val="18"/>
              </w:rPr>
              <w:t>24,9%</w:t>
            </w:r>
          </w:p>
        </w:tc>
        <w:tc>
          <w:tcPr>
            <w:tcW w:w="0" w:type="auto"/>
            <w:tcBorders>
              <w:bottom w:val="single" w:sz="4" w:space="0" w:color="auto"/>
            </w:tcBorders>
            <w:shd w:val="clear" w:color="auto" w:fill="auto"/>
            <w:vAlign w:val="center"/>
          </w:tcPr>
          <w:p>
            <w:pPr>
              <w:jc w:val="right"/>
              <w:rPr>
                <w:sz w:val="18"/>
              </w:rPr>
            </w:pPr>
            <w:r>
              <w:rPr>
                <w:sz w:val="18"/>
              </w:rPr>
              <w:t>25,9%</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16,7%</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12,0%</w:t>
            </w:r>
          </w:p>
        </w:tc>
        <w:tc>
          <w:tcPr>
            <w:tcW w:w="0" w:type="auto"/>
            <w:tcBorders>
              <w:bottom w:val="single" w:sz="4" w:space="0" w:color="auto"/>
            </w:tcBorders>
            <w:shd w:val="clear" w:color="auto" w:fill="auto"/>
            <w:vAlign w:val="center"/>
          </w:tcPr>
          <w:p>
            <w:pPr>
              <w:jc w:val="right"/>
              <w:rPr>
                <w:sz w:val="18"/>
              </w:rPr>
            </w:pPr>
            <w:r>
              <w:rPr>
                <w:sz w:val="18"/>
              </w:rPr>
              <w:t>32,5%</w:t>
            </w:r>
          </w:p>
        </w:tc>
        <w:tc>
          <w:tcPr>
            <w:tcW w:w="0" w:type="auto"/>
            <w:tcBorders>
              <w:bottom w:val="single" w:sz="4" w:space="0" w:color="auto"/>
            </w:tcBorders>
            <w:shd w:val="clear" w:color="auto" w:fill="auto"/>
            <w:vAlign w:val="center"/>
          </w:tcPr>
          <w:p>
            <w:pPr>
              <w:jc w:val="right"/>
              <w:rPr>
                <w:sz w:val="18"/>
              </w:rPr>
            </w:pPr>
            <w:r>
              <w:rPr>
                <w:sz w:val="18"/>
              </w:rPr>
              <w:t>67,5%</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FR LA1</w:t>
            </w:r>
          </w:p>
        </w:tc>
        <w:tc>
          <w:tcPr>
            <w:tcW w:w="0" w:type="auto"/>
            <w:tcBorders>
              <w:top w:val="single" w:sz="4" w:space="0" w:color="auto"/>
            </w:tcBorders>
            <w:shd w:val="clear" w:color="auto" w:fill="auto"/>
            <w:vAlign w:val="center"/>
          </w:tcPr>
          <w:p>
            <w:pPr>
              <w:jc w:val="right"/>
              <w:rPr>
                <w:sz w:val="18"/>
              </w:rPr>
            </w:pPr>
            <w:r>
              <w:rPr>
                <w:sz w:val="18"/>
              </w:rPr>
              <w:t>11,1%</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11,1%</w:t>
            </w:r>
          </w:p>
        </w:tc>
        <w:tc>
          <w:tcPr>
            <w:tcW w:w="0" w:type="auto"/>
            <w:tcBorders>
              <w:top w:val="single" w:sz="4" w:space="0" w:color="auto"/>
            </w:tcBorders>
            <w:shd w:val="clear" w:color="auto" w:fill="auto"/>
            <w:vAlign w:val="center"/>
          </w:tcPr>
          <w:p>
            <w:pPr>
              <w:jc w:val="right"/>
              <w:rPr>
                <w:sz w:val="18"/>
              </w:rPr>
            </w:pPr>
            <w:r>
              <w:rPr>
                <w:sz w:val="18"/>
              </w:rPr>
              <w:t>22,2%</w:t>
            </w:r>
          </w:p>
        </w:tc>
        <w:tc>
          <w:tcPr>
            <w:tcW w:w="0" w:type="auto"/>
            <w:tcBorders>
              <w:top w:val="single" w:sz="4" w:space="0" w:color="auto"/>
            </w:tcBorders>
            <w:shd w:val="clear" w:color="auto" w:fill="auto"/>
            <w:vAlign w:val="center"/>
          </w:tcPr>
          <w:p>
            <w:pPr>
              <w:jc w:val="right"/>
              <w:rPr>
                <w:sz w:val="18"/>
              </w:rPr>
            </w:pPr>
            <w:r>
              <w:rPr>
                <w:sz w:val="18"/>
              </w:rPr>
              <w:t>55,6%</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11,1%</w:t>
            </w:r>
          </w:p>
        </w:tc>
        <w:tc>
          <w:tcPr>
            <w:tcW w:w="0" w:type="auto"/>
            <w:tcBorders>
              <w:top w:val="single" w:sz="4" w:space="0" w:color="auto"/>
            </w:tcBorders>
            <w:shd w:val="clear" w:color="auto" w:fill="auto"/>
            <w:vAlign w:val="center"/>
          </w:tcPr>
          <w:p>
            <w:pPr>
              <w:jc w:val="right"/>
              <w:rPr>
                <w:sz w:val="18"/>
              </w:rPr>
            </w:pPr>
            <w:r>
              <w:rPr>
                <w:sz w:val="18"/>
              </w:rPr>
              <w:t>22,2%</w:t>
            </w:r>
          </w:p>
        </w:tc>
        <w:tc>
          <w:tcPr>
            <w:tcW w:w="0" w:type="auto"/>
            <w:tcBorders>
              <w:top w:val="single" w:sz="4" w:space="0" w:color="auto"/>
            </w:tcBorders>
            <w:shd w:val="clear" w:color="auto" w:fill="auto"/>
            <w:vAlign w:val="center"/>
          </w:tcPr>
          <w:p>
            <w:pPr>
              <w:jc w:val="right"/>
              <w:rPr>
                <w:sz w:val="18"/>
              </w:rPr>
            </w:pPr>
            <w:r>
              <w:rPr>
                <w:sz w:val="18"/>
              </w:rPr>
              <w:t>77,8%</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FR LA2</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11,1%</w:t>
            </w:r>
          </w:p>
        </w:tc>
        <w:tc>
          <w:tcPr>
            <w:tcW w:w="0" w:type="auto"/>
            <w:tcBorders>
              <w:bottom w:val="single" w:sz="4" w:space="0" w:color="auto"/>
            </w:tcBorders>
            <w:shd w:val="clear" w:color="auto" w:fill="auto"/>
            <w:vAlign w:val="center"/>
          </w:tcPr>
          <w:p>
            <w:pPr>
              <w:jc w:val="right"/>
              <w:rPr>
                <w:sz w:val="18"/>
              </w:rPr>
            </w:pPr>
            <w:r>
              <w:rPr>
                <w:sz w:val="18"/>
              </w:rPr>
              <w:t>11,1%</w:t>
            </w:r>
          </w:p>
        </w:tc>
        <w:tc>
          <w:tcPr>
            <w:tcW w:w="0" w:type="auto"/>
            <w:tcBorders>
              <w:bottom w:val="single" w:sz="4" w:space="0" w:color="auto"/>
            </w:tcBorders>
            <w:shd w:val="clear" w:color="auto" w:fill="auto"/>
            <w:vAlign w:val="center"/>
          </w:tcPr>
          <w:p>
            <w:pPr>
              <w:jc w:val="right"/>
              <w:rPr>
                <w:sz w:val="18"/>
              </w:rPr>
            </w:pPr>
            <w:r>
              <w:rPr>
                <w:sz w:val="18"/>
              </w:rPr>
              <w:t>33,3%</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44,4%</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11,1%</w:t>
            </w:r>
          </w:p>
        </w:tc>
        <w:tc>
          <w:tcPr>
            <w:tcW w:w="0" w:type="auto"/>
            <w:tcBorders>
              <w:bottom w:val="single" w:sz="4" w:space="0" w:color="auto"/>
            </w:tcBorders>
            <w:shd w:val="clear" w:color="auto" w:fill="auto"/>
            <w:vAlign w:val="center"/>
          </w:tcPr>
          <w:p>
            <w:pPr>
              <w:jc w:val="right"/>
              <w:rPr>
                <w:sz w:val="18"/>
              </w:rPr>
            </w:pPr>
            <w:r>
              <w:rPr>
                <w:sz w:val="18"/>
              </w:rPr>
              <w:t>88,9%</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IT LA1</w:t>
            </w:r>
          </w:p>
        </w:tc>
        <w:tc>
          <w:tcPr>
            <w:tcW w:w="0" w:type="auto"/>
            <w:tcBorders>
              <w:top w:val="single" w:sz="4" w:space="0" w:color="auto"/>
            </w:tcBorders>
            <w:shd w:val="clear" w:color="auto" w:fill="auto"/>
            <w:vAlign w:val="center"/>
          </w:tcPr>
          <w:p>
            <w:pPr>
              <w:jc w:val="right"/>
              <w:rPr>
                <w:sz w:val="18"/>
              </w:rPr>
            </w:pPr>
            <w:r>
              <w:rPr>
                <w:sz w:val="18"/>
              </w:rPr>
              <w:t>13,6%</w:t>
            </w:r>
          </w:p>
        </w:tc>
        <w:tc>
          <w:tcPr>
            <w:tcW w:w="0" w:type="auto"/>
            <w:tcBorders>
              <w:top w:val="single" w:sz="4" w:space="0" w:color="auto"/>
            </w:tcBorders>
            <w:shd w:val="clear" w:color="auto" w:fill="auto"/>
            <w:vAlign w:val="center"/>
          </w:tcPr>
          <w:p>
            <w:pPr>
              <w:jc w:val="right"/>
              <w:rPr>
                <w:sz w:val="18"/>
              </w:rPr>
            </w:pPr>
            <w:r>
              <w:rPr>
                <w:sz w:val="18"/>
              </w:rPr>
              <w:t>18,4%</w:t>
            </w:r>
          </w:p>
        </w:tc>
        <w:tc>
          <w:tcPr>
            <w:tcW w:w="0" w:type="auto"/>
            <w:tcBorders>
              <w:top w:val="single" w:sz="4" w:space="0" w:color="auto"/>
            </w:tcBorders>
            <w:shd w:val="clear" w:color="auto" w:fill="auto"/>
            <w:vAlign w:val="center"/>
          </w:tcPr>
          <w:p>
            <w:pPr>
              <w:jc w:val="right"/>
              <w:rPr>
                <w:sz w:val="18"/>
              </w:rPr>
            </w:pPr>
            <w:r>
              <w:rPr>
                <w:sz w:val="18"/>
              </w:rPr>
              <w:t>20,1%</w:t>
            </w:r>
          </w:p>
        </w:tc>
        <w:tc>
          <w:tcPr>
            <w:tcW w:w="0" w:type="auto"/>
            <w:tcBorders>
              <w:top w:val="single" w:sz="4" w:space="0" w:color="auto"/>
            </w:tcBorders>
            <w:shd w:val="clear" w:color="auto" w:fill="auto"/>
            <w:vAlign w:val="center"/>
          </w:tcPr>
          <w:p>
            <w:pPr>
              <w:jc w:val="right"/>
              <w:rPr>
                <w:sz w:val="18"/>
              </w:rPr>
            </w:pPr>
            <w:r>
              <w:rPr>
                <w:sz w:val="18"/>
              </w:rPr>
              <w:t>17,6%</w:t>
            </w:r>
          </w:p>
        </w:tc>
        <w:tc>
          <w:tcPr>
            <w:tcW w:w="0" w:type="auto"/>
            <w:tcBorders>
              <w:top w:val="single" w:sz="4" w:space="0" w:color="auto"/>
            </w:tcBorders>
            <w:shd w:val="clear" w:color="auto" w:fill="auto"/>
            <w:vAlign w:val="center"/>
          </w:tcPr>
          <w:p>
            <w:pPr>
              <w:jc w:val="right"/>
              <w:rPr>
                <w:sz w:val="18"/>
              </w:rPr>
            </w:pPr>
            <w:r>
              <w:rPr>
                <w:sz w:val="18"/>
              </w:rPr>
              <w:t>22,9%</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 xml:space="preserve"> 7,4%</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32,0%</w:t>
            </w:r>
          </w:p>
        </w:tc>
        <w:tc>
          <w:tcPr>
            <w:tcW w:w="0" w:type="auto"/>
            <w:tcBorders>
              <w:top w:val="single" w:sz="4" w:space="0" w:color="auto"/>
            </w:tcBorders>
            <w:shd w:val="clear" w:color="auto" w:fill="auto"/>
            <w:vAlign w:val="center"/>
          </w:tcPr>
          <w:p>
            <w:pPr>
              <w:jc w:val="right"/>
              <w:rPr>
                <w:sz w:val="18"/>
              </w:rPr>
            </w:pPr>
            <w:r>
              <w:rPr>
                <w:sz w:val="18"/>
              </w:rPr>
              <w:t>52,1%</w:t>
            </w:r>
          </w:p>
        </w:tc>
        <w:tc>
          <w:tcPr>
            <w:tcW w:w="0" w:type="auto"/>
            <w:tcBorders>
              <w:top w:val="single" w:sz="4" w:space="0" w:color="auto"/>
            </w:tcBorders>
            <w:shd w:val="clear" w:color="auto" w:fill="auto"/>
            <w:vAlign w:val="center"/>
          </w:tcPr>
          <w:p>
            <w:pPr>
              <w:jc w:val="right"/>
              <w:rPr>
                <w:sz w:val="18"/>
              </w:rPr>
            </w:pPr>
            <w:r>
              <w:rPr>
                <w:sz w:val="18"/>
              </w:rPr>
              <w:t>47,9%</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IT LA2</w:t>
            </w:r>
          </w:p>
        </w:tc>
        <w:tc>
          <w:tcPr>
            <w:tcW w:w="0" w:type="auto"/>
            <w:tcBorders>
              <w:bottom w:val="single" w:sz="4" w:space="0" w:color="auto"/>
            </w:tcBorders>
            <w:shd w:val="clear" w:color="auto" w:fill="auto"/>
            <w:vAlign w:val="center"/>
          </w:tcPr>
          <w:p>
            <w:pPr>
              <w:jc w:val="right"/>
              <w:rPr>
                <w:sz w:val="18"/>
              </w:rPr>
            </w:pPr>
            <w:r>
              <w:rPr>
                <w:sz w:val="18"/>
              </w:rPr>
              <w:t xml:space="preserve"> 1,7%</w:t>
            </w:r>
          </w:p>
        </w:tc>
        <w:tc>
          <w:tcPr>
            <w:tcW w:w="0" w:type="auto"/>
            <w:tcBorders>
              <w:bottom w:val="single" w:sz="4" w:space="0" w:color="auto"/>
            </w:tcBorders>
            <w:shd w:val="clear" w:color="auto" w:fill="auto"/>
            <w:vAlign w:val="center"/>
          </w:tcPr>
          <w:p>
            <w:pPr>
              <w:jc w:val="right"/>
              <w:rPr>
                <w:sz w:val="18"/>
              </w:rPr>
            </w:pPr>
            <w:r>
              <w:rPr>
                <w:sz w:val="18"/>
              </w:rPr>
              <w:t xml:space="preserve"> 7,1%</w:t>
            </w:r>
          </w:p>
        </w:tc>
        <w:tc>
          <w:tcPr>
            <w:tcW w:w="0" w:type="auto"/>
            <w:tcBorders>
              <w:bottom w:val="single" w:sz="4" w:space="0" w:color="auto"/>
            </w:tcBorders>
            <w:shd w:val="clear" w:color="auto" w:fill="auto"/>
            <w:vAlign w:val="center"/>
          </w:tcPr>
          <w:p>
            <w:pPr>
              <w:jc w:val="right"/>
              <w:rPr>
                <w:sz w:val="18"/>
              </w:rPr>
            </w:pPr>
            <w:r>
              <w:rPr>
                <w:sz w:val="18"/>
              </w:rPr>
              <w:t>12,7%</w:t>
            </w:r>
          </w:p>
        </w:tc>
        <w:tc>
          <w:tcPr>
            <w:tcW w:w="0" w:type="auto"/>
            <w:tcBorders>
              <w:bottom w:val="single" w:sz="4" w:space="0" w:color="auto"/>
            </w:tcBorders>
            <w:shd w:val="clear" w:color="auto" w:fill="auto"/>
            <w:vAlign w:val="center"/>
          </w:tcPr>
          <w:p>
            <w:pPr>
              <w:jc w:val="right"/>
              <w:rPr>
                <w:sz w:val="18"/>
              </w:rPr>
            </w:pPr>
            <w:r>
              <w:rPr>
                <w:sz w:val="18"/>
              </w:rPr>
              <w:t>22,9%</w:t>
            </w:r>
          </w:p>
        </w:tc>
        <w:tc>
          <w:tcPr>
            <w:tcW w:w="0" w:type="auto"/>
            <w:tcBorders>
              <w:bottom w:val="single" w:sz="4" w:space="0" w:color="auto"/>
            </w:tcBorders>
            <w:shd w:val="clear" w:color="auto" w:fill="auto"/>
            <w:vAlign w:val="center"/>
          </w:tcPr>
          <w:p>
            <w:pPr>
              <w:jc w:val="right"/>
              <w:rPr>
                <w:sz w:val="18"/>
              </w:rPr>
            </w:pPr>
            <w:r>
              <w:rPr>
                <w:sz w:val="18"/>
              </w:rPr>
              <w:t>32,6%</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22,9%</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8,8%</w:t>
            </w:r>
          </w:p>
        </w:tc>
        <w:tc>
          <w:tcPr>
            <w:tcW w:w="0" w:type="auto"/>
            <w:tcBorders>
              <w:bottom w:val="single" w:sz="4" w:space="0" w:color="auto"/>
            </w:tcBorders>
            <w:shd w:val="clear" w:color="auto" w:fill="auto"/>
            <w:vAlign w:val="center"/>
          </w:tcPr>
          <w:p>
            <w:pPr>
              <w:jc w:val="right"/>
              <w:rPr>
                <w:sz w:val="18"/>
              </w:rPr>
            </w:pPr>
            <w:r>
              <w:rPr>
                <w:sz w:val="18"/>
              </w:rPr>
              <w:t>21,5%</w:t>
            </w:r>
          </w:p>
        </w:tc>
        <w:tc>
          <w:tcPr>
            <w:tcW w:w="0" w:type="auto"/>
            <w:tcBorders>
              <w:bottom w:val="single" w:sz="4" w:space="0" w:color="auto"/>
            </w:tcBorders>
            <w:shd w:val="clear" w:color="auto" w:fill="auto"/>
            <w:vAlign w:val="center"/>
          </w:tcPr>
          <w:p>
            <w:pPr>
              <w:jc w:val="right"/>
              <w:rPr>
                <w:sz w:val="18"/>
              </w:rPr>
            </w:pPr>
            <w:r>
              <w:rPr>
                <w:sz w:val="18"/>
              </w:rPr>
              <w:t>78,5%</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NL LA1</w:t>
            </w:r>
          </w:p>
        </w:tc>
        <w:tc>
          <w:tcPr>
            <w:tcW w:w="0" w:type="auto"/>
            <w:tcBorders>
              <w:top w:val="single" w:sz="4" w:space="0" w:color="auto"/>
            </w:tcBorders>
            <w:shd w:val="clear" w:color="auto" w:fill="auto"/>
            <w:vAlign w:val="center"/>
          </w:tcPr>
          <w:p>
            <w:pPr>
              <w:jc w:val="right"/>
              <w:rPr>
                <w:sz w:val="18"/>
              </w:rPr>
            </w:pPr>
            <w:r>
              <w:rPr>
                <w:sz w:val="18"/>
              </w:rPr>
              <w:t xml:space="preserve"> 3,2%</w:t>
            </w:r>
          </w:p>
        </w:tc>
        <w:tc>
          <w:tcPr>
            <w:tcW w:w="0" w:type="auto"/>
            <w:tcBorders>
              <w:top w:val="single" w:sz="4" w:space="0" w:color="auto"/>
            </w:tcBorders>
            <w:shd w:val="clear" w:color="auto" w:fill="auto"/>
            <w:vAlign w:val="center"/>
          </w:tcPr>
          <w:p>
            <w:pPr>
              <w:jc w:val="right"/>
              <w:rPr>
                <w:sz w:val="18"/>
              </w:rPr>
            </w:pPr>
            <w:r>
              <w:rPr>
                <w:sz w:val="18"/>
              </w:rPr>
              <w:t xml:space="preserve"> 6,4%</w:t>
            </w:r>
          </w:p>
        </w:tc>
        <w:tc>
          <w:tcPr>
            <w:tcW w:w="0" w:type="auto"/>
            <w:tcBorders>
              <w:top w:val="single" w:sz="4" w:space="0" w:color="auto"/>
            </w:tcBorders>
            <w:shd w:val="clear" w:color="auto" w:fill="auto"/>
            <w:vAlign w:val="center"/>
          </w:tcPr>
          <w:p>
            <w:pPr>
              <w:jc w:val="right"/>
              <w:rPr>
                <w:sz w:val="18"/>
              </w:rPr>
            </w:pPr>
            <w:r>
              <w:rPr>
                <w:sz w:val="18"/>
              </w:rPr>
              <w:t>13,6%</w:t>
            </w:r>
          </w:p>
        </w:tc>
        <w:tc>
          <w:tcPr>
            <w:tcW w:w="0" w:type="auto"/>
            <w:tcBorders>
              <w:top w:val="single" w:sz="4" w:space="0" w:color="auto"/>
            </w:tcBorders>
            <w:shd w:val="clear" w:color="auto" w:fill="auto"/>
            <w:vAlign w:val="center"/>
          </w:tcPr>
          <w:p>
            <w:pPr>
              <w:jc w:val="right"/>
              <w:rPr>
                <w:sz w:val="18"/>
              </w:rPr>
            </w:pPr>
            <w:r>
              <w:rPr>
                <w:sz w:val="18"/>
              </w:rPr>
              <w:t>31,2%</w:t>
            </w:r>
          </w:p>
        </w:tc>
        <w:tc>
          <w:tcPr>
            <w:tcW w:w="0" w:type="auto"/>
            <w:tcBorders>
              <w:top w:val="single" w:sz="4" w:space="0" w:color="auto"/>
            </w:tcBorders>
            <w:shd w:val="clear" w:color="auto" w:fill="auto"/>
            <w:vAlign w:val="center"/>
          </w:tcPr>
          <w:p>
            <w:pPr>
              <w:jc w:val="right"/>
              <w:rPr>
                <w:sz w:val="18"/>
              </w:rPr>
            </w:pPr>
            <w:r>
              <w:rPr>
                <w:sz w:val="18"/>
              </w:rPr>
              <w:t>26,4%</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19,2%</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 xml:space="preserve"> 9,6%</w:t>
            </w:r>
          </w:p>
        </w:tc>
        <w:tc>
          <w:tcPr>
            <w:tcW w:w="0" w:type="auto"/>
            <w:tcBorders>
              <w:top w:val="single" w:sz="4" w:space="0" w:color="auto"/>
            </w:tcBorders>
            <w:shd w:val="clear" w:color="auto" w:fill="auto"/>
            <w:vAlign w:val="center"/>
          </w:tcPr>
          <w:p>
            <w:pPr>
              <w:jc w:val="right"/>
              <w:rPr>
                <w:sz w:val="18"/>
              </w:rPr>
            </w:pPr>
            <w:r>
              <w:rPr>
                <w:sz w:val="18"/>
              </w:rPr>
              <w:t>23,2%</w:t>
            </w:r>
          </w:p>
        </w:tc>
        <w:tc>
          <w:tcPr>
            <w:tcW w:w="0" w:type="auto"/>
            <w:tcBorders>
              <w:top w:val="single" w:sz="4" w:space="0" w:color="auto"/>
            </w:tcBorders>
            <w:shd w:val="clear" w:color="auto" w:fill="auto"/>
            <w:vAlign w:val="center"/>
          </w:tcPr>
          <w:p>
            <w:pPr>
              <w:jc w:val="right"/>
              <w:rPr>
                <w:sz w:val="18"/>
              </w:rPr>
            </w:pPr>
            <w:r>
              <w:rPr>
                <w:sz w:val="18"/>
              </w:rPr>
              <w:t>76,8%</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NL LA2</w:t>
            </w:r>
          </w:p>
        </w:tc>
        <w:tc>
          <w:tcPr>
            <w:tcW w:w="0" w:type="auto"/>
            <w:tcBorders>
              <w:bottom w:val="single" w:sz="4" w:space="0" w:color="auto"/>
            </w:tcBorders>
            <w:shd w:val="clear" w:color="auto" w:fill="auto"/>
            <w:vAlign w:val="center"/>
          </w:tcPr>
          <w:p>
            <w:pPr>
              <w:jc w:val="right"/>
              <w:rPr>
                <w:sz w:val="18"/>
              </w:rPr>
            </w:pPr>
            <w:r>
              <w:rPr>
                <w:sz w:val="18"/>
              </w:rPr>
              <w:t xml:space="preserve"> 0,8%</w:t>
            </w:r>
          </w:p>
        </w:tc>
        <w:tc>
          <w:tcPr>
            <w:tcW w:w="0" w:type="auto"/>
            <w:tcBorders>
              <w:bottom w:val="single" w:sz="4" w:space="0" w:color="auto"/>
            </w:tcBorders>
            <w:shd w:val="clear" w:color="auto" w:fill="auto"/>
            <w:vAlign w:val="center"/>
          </w:tcPr>
          <w:p>
            <w:pPr>
              <w:jc w:val="right"/>
              <w:rPr>
                <w:sz w:val="18"/>
              </w:rPr>
            </w:pPr>
            <w:r>
              <w:rPr>
                <w:sz w:val="18"/>
              </w:rPr>
              <w:t xml:space="preserve"> 3,2%</w:t>
            </w:r>
          </w:p>
        </w:tc>
        <w:tc>
          <w:tcPr>
            <w:tcW w:w="0" w:type="auto"/>
            <w:tcBorders>
              <w:bottom w:val="single" w:sz="4" w:space="0" w:color="auto"/>
            </w:tcBorders>
            <w:shd w:val="clear" w:color="auto" w:fill="auto"/>
            <w:vAlign w:val="center"/>
          </w:tcPr>
          <w:p>
            <w:pPr>
              <w:jc w:val="right"/>
              <w:rPr>
                <w:sz w:val="18"/>
              </w:rPr>
            </w:pPr>
            <w:r>
              <w:rPr>
                <w:sz w:val="18"/>
              </w:rPr>
              <w:t xml:space="preserve"> 8,0%</w:t>
            </w:r>
          </w:p>
        </w:tc>
        <w:tc>
          <w:tcPr>
            <w:tcW w:w="0" w:type="auto"/>
            <w:tcBorders>
              <w:bottom w:val="single" w:sz="4" w:space="0" w:color="auto"/>
            </w:tcBorders>
            <w:shd w:val="clear" w:color="auto" w:fill="auto"/>
            <w:vAlign w:val="center"/>
          </w:tcPr>
          <w:p>
            <w:pPr>
              <w:jc w:val="right"/>
              <w:rPr>
                <w:sz w:val="18"/>
              </w:rPr>
            </w:pPr>
            <w:r>
              <w:rPr>
                <w:sz w:val="18"/>
              </w:rPr>
              <w:t>25,6%</w:t>
            </w:r>
          </w:p>
        </w:tc>
        <w:tc>
          <w:tcPr>
            <w:tcW w:w="0" w:type="auto"/>
            <w:tcBorders>
              <w:bottom w:val="single" w:sz="4" w:space="0" w:color="auto"/>
            </w:tcBorders>
            <w:shd w:val="clear" w:color="auto" w:fill="auto"/>
            <w:vAlign w:val="center"/>
          </w:tcPr>
          <w:p>
            <w:pPr>
              <w:jc w:val="right"/>
              <w:rPr>
                <w:sz w:val="18"/>
              </w:rPr>
            </w:pPr>
            <w:r>
              <w:rPr>
                <w:sz w:val="18"/>
              </w:rPr>
              <w:t>32,8%</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29,6%</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4,0%</w:t>
            </w:r>
          </w:p>
        </w:tc>
        <w:tc>
          <w:tcPr>
            <w:tcW w:w="0" w:type="auto"/>
            <w:tcBorders>
              <w:bottom w:val="single" w:sz="4" w:space="0" w:color="auto"/>
            </w:tcBorders>
            <w:shd w:val="clear" w:color="auto" w:fill="auto"/>
            <w:vAlign w:val="center"/>
          </w:tcPr>
          <w:p>
            <w:pPr>
              <w:jc w:val="right"/>
              <w:rPr>
                <w:sz w:val="18"/>
              </w:rPr>
            </w:pPr>
            <w:r>
              <w:rPr>
                <w:sz w:val="18"/>
              </w:rPr>
              <w:t>12,0%</w:t>
            </w:r>
          </w:p>
        </w:tc>
        <w:tc>
          <w:tcPr>
            <w:tcW w:w="0" w:type="auto"/>
            <w:tcBorders>
              <w:bottom w:val="single" w:sz="4" w:space="0" w:color="auto"/>
            </w:tcBorders>
            <w:shd w:val="clear" w:color="auto" w:fill="auto"/>
            <w:vAlign w:val="center"/>
          </w:tcPr>
          <w:p>
            <w:pPr>
              <w:jc w:val="right"/>
              <w:rPr>
                <w:sz w:val="18"/>
              </w:rPr>
            </w:pPr>
            <w:r>
              <w:rPr>
                <w:sz w:val="18"/>
              </w:rPr>
              <w:t>88,0%</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CS LA1</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 xml:space="preserve">  0%</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CS LA2</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 xml:space="preserve">  0%</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 xml:space="preserve">  0%</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DA LA1</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DA LA2</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EL LA1</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 xml:space="preserve">  0%</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EL LA2</w:t>
            </w:r>
          </w:p>
        </w:tc>
        <w:tc>
          <w:tcPr>
            <w:tcW w:w="0" w:type="auto"/>
            <w:tcBorders>
              <w:bottom w:val="single" w:sz="4" w:space="0" w:color="auto"/>
            </w:tcBorders>
            <w:shd w:val="clear" w:color="auto" w:fill="auto"/>
            <w:vAlign w:val="center"/>
          </w:tcPr>
          <w:p>
            <w:pPr>
              <w:jc w:val="right"/>
              <w:rPr>
                <w:sz w:val="18"/>
              </w:rPr>
            </w:pPr>
            <w:r>
              <w:rPr>
                <w:sz w:val="18"/>
              </w:rPr>
              <w:t xml:space="preserve"> 50%</w:t>
            </w:r>
          </w:p>
        </w:tc>
        <w:tc>
          <w:tcPr>
            <w:tcW w:w="0" w:type="auto"/>
            <w:tcBorders>
              <w:bottom w:val="single" w:sz="4" w:space="0" w:color="auto"/>
            </w:tcBorders>
            <w:shd w:val="clear" w:color="auto" w:fill="auto"/>
            <w:vAlign w:val="center"/>
          </w:tcPr>
          <w:p>
            <w:pPr>
              <w:jc w:val="right"/>
              <w:rPr>
                <w:sz w:val="18"/>
              </w:rPr>
            </w:pPr>
            <w:r>
              <w:rPr>
                <w:sz w:val="18"/>
              </w:rPr>
              <w:t xml:space="preserve"> 50%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 xml:space="preserve">  0%</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 xml:space="preserve">  0%</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PL LA1</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 xml:space="preserve">  0%</w:t>
            </w:r>
          </w:p>
        </w:tc>
        <w:tc>
          <w:tcPr>
            <w:tcW w:w="0" w:type="auto"/>
            <w:tcBorders>
              <w:top w:val="single" w:sz="4" w:space="0" w:color="auto"/>
            </w:tcBorders>
            <w:shd w:val="clear" w:color="auto" w:fill="auto"/>
            <w:vAlign w:val="center"/>
          </w:tcPr>
          <w:p>
            <w:pPr>
              <w:jc w:val="right"/>
              <w:rPr>
                <w:sz w:val="18"/>
              </w:rPr>
            </w:pPr>
            <w:r>
              <w:rPr>
                <w:sz w:val="18"/>
              </w:rPr>
              <w:t>100%</w:t>
            </w:r>
          </w:p>
        </w:tc>
        <w:tc>
          <w:tcPr>
            <w:tcW w:w="0" w:type="auto"/>
            <w:tcBorders>
              <w:top w:val="single" w:sz="4" w:space="0" w:color="auto"/>
            </w:tcBorders>
            <w:shd w:val="clear" w:color="auto" w:fill="auto"/>
            <w:vAlign w:val="center"/>
          </w:tcPr>
          <w:p>
            <w:pPr>
              <w:jc w:val="right"/>
              <w:rPr>
                <w:sz w:val="18"/>
              </w:rPr>
            </w:pPr>
            <w:r>
              <w:rPr>
                <w:sz w:val="18"/>
              </w:rPr>
              <w:t xml:space="preserve">  0%</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PL LA2</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 xml:space="preserve">  0%</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 xml:space="preserve">  0%</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PT LA1</w:t>
            </w:r>
          </w:p>
        </w:tc>
        <w:tc>
          <w:tcPr>
            <w:tcW w:w="0" w:type="auto"/>
            <w:tcBorders>
              <w:top w:val="single" w:sz="4" w:space="0" w:color="auto"/>
            </w:tcBorders>
            <w:shd w:val="clear" w:color="auto" w:fill="auto"/>
            <w:vAlign w:val="center"/>
          </w:tcPr>
          <w:p>
            <w:pPr>
              <w:jc w:val="right"/>
              <w:rPr>
                <w:sz w:val="18"/>
              </w:rPr>
            </w:pPr>
            <w:r>
              <w:rPr>
                <w:sz w:val="18"/>
              </w:rPr>
              <w:t xml:space="preserve"> 62,5%</w:t>
            </w:r>
          </w:p>
        </w:tc>
        <w:tc>
          <w:tcPr>
            <w:tcW w:w="0" w:type="auto"/>
            <w:tcBorders>
              <w:top w:val="single" w:sz="4" w:space="0" w:color="auto"/>
            </w:tcBorders>
            <w:shd w:val="clear" w:color="auto" w:fill="auto"/>
            <w:vAlign w:val="center"/>
          </w:tcPr>
          <w:p>
            <w:pPr>
              <w:jc w:val="right"/>
              <w:rPr>
                <w:sz w:val="18"/>
              </w:rPr>
            </w:pPr>
            <w:r>
              <w:rPr>
                <w:sz w:val="18"/>
              </w:rPr>
              <w:t xml:space="preserve"> 25,0%</w:t>
            </w:r>
          </w:p>
        </w:tc>
        <w:tc>
          <w:tcPr>
            <w:tcW w:w="0" w:type="auto"/>
            <w:tcBorders>
              <w:top w:val="single" w:sz="4" w:space="0" w:color="auto"/>
            </w:tcBorders>
            <w:shd w:val="clear" w:color="auto" w:fill="auto"/>
            <w:vAlign w:val="center"/>
          </w:tcPr>
          <w:p>
            <w:pPr>
              <w:jc w:val="right"/>
              <w:rPr>
                <w:sz w:val="18"/>
              </w:rPr>
            </w:pPr>
            <w:r>
              <w:rPr>
                <w:sz w:val="18"/>
              </w:rPr>
              <w:t xml:space="preserve"> 12,5%</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 xml:space="preserve">  0,0%</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 xml:space="preserve"> 87,5%</w:t>
            </w:r>
          </w:p>
        </w:tc>
        <w:tc>
          <w:tcPr>
            <w:tcW w:w="0" w:type="auto"/>
            <w:tcBorders>
              <w:top w:val="single" w:sz="4" w:space="0" w:color="auto"/>
            </w:tcBorders>
            <w:shd w:val="clear" w:color="auto" w:fill="auto"/>
            <w:vAlign w:val="center"/>
          </w:tcPr>
          <w:p>
            <w:pPr>
              <w:jc w:val="right"/>
              <w:rPr>
                <w:sz w:val="18"/>
              </w:rPr>
            </w:pPr>
            <w:r>
              <w:rPr>
                <w:sz w:val="18"/>
              </w:rPr>
              <w:t>100,0%</w:t>
            </w:r>
          </w:p>
        </w:tc>
        <w:tc>
          <w:tcPr>
            <w:tcW w:w="0" w:type="auto"/>
            <w:tcBorders>
              <w:top w:val="single" w:sz="4" w:space="0" w:color="auto"/>
            </w:tcBorders>
            <w:shd w:val="clear" w:color="auto" w:fill="auto"/>
            <w:vAlign w:val="center"/>
          </w:tcPr>
          <w:p>
            <w:pPr>
              <w:jc w:val="right"/>
              <w:rPr>
                <w:sz w:val="18"/>
              </w:rPr>
            </w:pPr>
            <w:r>
              <w:rPr>
                <w:sz w:val="18"/>
              </w:rPr>
              <w:t xml:space="preserve">  0,0%</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PT LA2</w:t>
            </w:r>
          </w:p>
        </w:tc>
        <w:tc>
          <w:tcPr>
            <w:tcW w:w="0" w:type="auto"/>
            <w:tcBorders>
              <w:bottom w:val="single" w:sz="4" w:space="0" w:color="auto"/>
            </w:tcBorders>
            <w:shd w:val="clear" w:color="auto" w:fill="auto"/>
            <w:vAlign w:val="center"/>
          </w:tcPr>
          <w:p>
            <w:pPr>
              <w:jc w:val="right"/>
              <w:rPr>
                <w:sz w:val="18"/>
              </w:rPr>
            </w:pPr>
            <w:r>
              <w:rPr>
                <w:sz w:val="18"/>
              </w:rPr>
              <w:t>37,5%</w:t>
            </w:r>
          </w:p>
        </w:tc>
        <w:tc>
          <w:tcPr>
            <w:tcW w:w="0" w:type="auto"/>
            <w:tcBorders>
              <w:bottom w:val="single" w:sz="4" w:space="0" w:color="auto"/>
            </w:tcBorders>
            <w:shd w:val="clear" w:color="auto" w:fill="auto"/>
            <w:vAlign w:val="center"/>
          </w:tcPr>
          <w:p>
            <w:pPr>
              <w:jc w:val="right"/>
              <w:rPr>
                <w:sz w:val="18"/>
              </w:rPr>
            </w:pPr>
            <w:r>
              <w:rPr>
                <w:sz w:val="18"/>
              </w:rPr>
              <w:t>12,5%</w:t>
            </w:r>
          </w:p>
        </w:tc>
        <w:tc>
          <w:tcPr>
            <w:tcW w:w="0" w:type="auto"/>
            <w:tcBorders>
              <w:bottom w:val="single" w:sz="4" w:space="0" w:color="auto"/>
            </w:tcBorders>
            <w:shd w:val="clear" w:color="auto" w:fill="auto"/>
            <w:vAlign w:val="center"/>
          </w:tcPr>
          <w:p>
            <w:pPr>
              <w:jc w:val="right"/>
              <w:rPr>
                <w:sz w:val="18"/>
              </w:rPr>
            </w:pPr>
            <w:r>
              <w:rPr>
                <w:sz w:val="18"/>
              </w:rPr>
              <w:t>25,0%</w:t>
            </w:r>
          </w:p>
        </w:tc>
        <w:tc>
          <w:tcPr>
            <w:tcW w:w="0" w:type="auto"/>
            <w:tcBorders>
              <w:bottom w:val="single" w:sz="4" w:space="0" w:color="auto"/>
            </w:tcBorders>
            <w:shd w:val="clear" w:color="auto" w:fill="auto"/>
            <w:vAlign w:val="center"/>
          </w:tcPr>
          <w:p>
            <w:pPr>
              <w:jc w:val="right"/>
              <w:rPr>
                <w:sz w:val="18"/>
              </w:rPr>
            </w:pPr>
            <w:r>
              <w:rPr>
                <w:sz w:val="18"/>
              </w:rPr>
              <w:t>25,0%</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 xml:space="preserve"> 0,0%</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50,0%</w:t>
            </w:r>
          </w:p>
        </w:tc>
        <w:tc>
          <w:tcPr>
            <w:tcW w:w="0" w:type="auto"/>
            <w:tcBorders>
              <w:bottom w:val="single" w:sz="4" w:space="0" w:color="auto"/>
            </w:tcBorders>
            <w:shd w:val="clear" w:color="auto" w:fill="auto"/>
            <w:vAlign w:val="center"/>
          </w:tcPr>
          <w:p>
            <w:pPr>
              <w:jc w:val="right"/>
              <w:rPr>
                <w:sz w:val="18"/>
              </w:rPr>
            </w:pPr>
            <w:r>
              <w:rPr>
                <w:sz w:val="18"/>
              </w:rPr>
              <w:t>75,0%</w:t>
            </w:r>
          </w:p>
        </w:tc>
        <w:tc>
          <w:tcPr>
            <w:tcW w:w="0" w:type="auto"/>
            <w:tcBorders>
              <w:bottom w:val="single" w:sz="4" w:space="0" w:color="auto"/>
            </w:tcBorders>
            <w:shd w:val="clear" w:color="auto" w:fill="auto"/>
            <w:vAlign w:val="center"/>
          </w:tcPr>
          <w:p>
            <w:pPr>
              <w:jc w:val="right"/>
              <w:rPr>
                <w:sz w:val="18"/>
              </w:rPr>
            </w:pPr>
            <w:r>
              <w:rPr>
                <w:sz w:val="18"/>
              </w:rPr>
              <w:t>25,0%</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SV LA1</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c>
          <w:tcPr>
            <w:tcW w:w="0" w:type="auto"/>
            <w:tcBorders>
              <w:top w:val="single" w:sz="4" w:space="0" w:color="auto"/>
            </w:tcBorders>
            <w:shd w:val="clear" w:color="auto" w:fill="auto"/>
            <w:vAlign w:val="center"/>
          </w:tcPr>
          <w:p>
            <w:pPr>
              <w:jc w:val="right"/>
              <w:rPr>
                <w:sz w:val="18"/>
              </w:rPr>
            </w:pPr>
            <w:r>
              <w:rPr>
                <w:sz w:val="18"/>
              </w:rPr>
              <w:t>.</w:t>
            </w:r>
          </w:p>
        </w:tc>
      </w:tr>
      <w:tr>
        <w:trPr>
          <w:trHeight w:hRule="exact" w:val="280"/>
        </w:trPr>
        <w:tc>
          <w:tcPr>
            <w:tcW w:w="0" w:type="auto"/>
            <w:shd w:val="clear" w:color="auto" w:fill="auto"/>
            <w:vAlign w:val="center"/>
          </w:tcPr>
          <w:p>
            <w:pPr>
              <w:jc w:val="left"/>
              <w:rPr>
                <w:sz w:val="18"/>
              </w:rPr>
            </w:pPr>
            <w:r>
              <w:rPr>
                <w:sz w:val="18"/>
              </w:rPr>
              <w:t>SV LA2</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tcBorders>
              <w:right w:val="single" w:sz="4" w:space="0" w:color="auto"/>
            </w:tcBorders>
            <w:shd w:val="clear" w:color="auto" w:fill="auto"/>
            <w:vAlign w:val="center"/>
          </w:tcPr>
          <w:p>
            <w:pPr>
              <w:jc w:val="right"/>
              <w:rPr>
                <w:sz w:val="18"/>
              </w:rPr>
            </w:pPr>
            <w:r>
              <w:rPr>
                <w:sz w:val="18"/>
              </w:rPr>
              <w:t>.</w:t>
            </w:r>
          </w:p>
        </w:tc>
        <w:tc>
          <w:tcPr>
            <w:tcW w:w="0" w:type="auto"/>
            <w:tcBorders>
              <w:left w:val="single" w:sz="4" w:space="0" w:color="auto"/>
            </w:tcBorders>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w:t>
            </w:r>
          </w:p>
        </w:tc>
      </w:tr>
      <w:bookmarkEnd w:id="28"/>
    </w:tbl>
    <w:p/>
    <w:p>
      <w:pPr>
        <w:pStyle w:val="Lgende"/>
        <w:keepNext/>
      </w:pPr>
      <w:r>
        <w:t xml:space="preserve">Figure </w:t>
      </w:r>
      <w:fldSimple w:instr=" SEQ Figure \* ARABIC ">
        <w:r>
          <w:rPr>
            <w:noProof/>
          </w:rPr>
          <w:t>5</w:t>
        </w:r>
      </w:fldSimple>
      <w:r>
        <w:t>. Distribution of CEFR levels at language assessment 1 and language assessment 2.</w:t>
      </w:r>
      <w:bookmarkStart w:id="29" w:name="InlineShape6"/>
      <w:bookmarkEnd w:id="29"/>
    </w:p>
    <w:p>
      <w:pPr>
        <w:sectPr>
          <w:pgSz w:w="11907" w:h="16839" w:code="9"/>
          <w:pgMar w:top="1440" w:right="1440" w:bottom="1440" w:left="1440" w:header="709" w:footer="709" w:gutter="0"/>
          <w:cols w:space="708"/>
          <w:docGrid w:linePitch="360"/>
        </w:sectPr>
      </w:pPr>
      <w:r>
        <w:rPr>
          <w:noProof/>
          <w:lang w:val="fr-BE" w:eastAsia="fr-BE"/>
        </w:rPr>
        <w:drawing>
          <wp:inline distT="0" distB="0" distL="0" distR="0">
            <wp:extent cx="54864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pPr>
        <w:pStyle w:val="Titre1"/>
      </w:pPr>
      <w:bookmarkStart w:id="30" w:name="sec_III__Erasmus__OLS_Language_Courses"/>
      <w:bookmarkStart w:id="31" w:name="_Toc476736935"/>
      <w:bookmarkEnd w:id="30"/>
      <w:r>
        <w:lastRenderedPageBreak/>
        <w:t>III. Erasmus+ OLS Language Courses</w:t>
      </w:r>
      <w:bookmarkEnd w:id="31"/>
    </w:p>
    <w:p>
      <w:pPr>
        <w:sectPr>
          <w:pgSz w:w="11907" w:h="16839" w:code="9"/>
          <w:pgMar w:top="1440" w:right="1440" w:bottom="1440" w:left="1440" w:header="709" w:footer="709" w:gutter="0"/>
          <w:cols w:space="708"/>
          <w:docGrid w:linePitch="360"/>
        </w:sectPr>
      </w:pPr>
    </w:p>
    <w:p>
      <w:pPr>
        <w:pStyle w:val="Titre2"/>
      </w:pPr>
      <w:bookmarkStart w:id="32" w:name="subsec____Usage_of_OLS_Language_Courses"/>
      <w:bookmarkStart w:id="33" w:name="_Toc476736936"/>
      <w:bookmarkEnd w:id="32"/>
      <w:r>
        <w:t>1. Usage of OLS Language Courses</w:t>
      </w:r>
      <w:bookmarkEnd w:id="33"/>
    </w:p>
    <w:p>
      <w:pPr>
        <w:pStyle w:val="Corpsdetexte"/>
      </w:pPr>
      <w:r>
        <w:t>The following table gives an overview of  participants' active usage of the language course. The categories represent the number of hours during which activity was registered on the OSL language platform.</w:t>
      </w:r>
    </w:p>
    <w:p>
      <w:pPr>
        <w:pStyle w:val="Lgende"/>
        <w:keepNext/>
      </w:pPr>
      <w:r>
        <w:t xml:space="preserve">Table </w:t>
      </w:r>
      <w:fldSimple w:instr=" SEQ Table \* ARABIC ">
        <w:r>
          <w:rPr>
            <w:noProof/>
          </w:rPr>
          <w:t>8</w:t>
        </w:r>
      </w:fldSimple>
      <w:r>
        <w:t>. Usage of activated OLS language courses</w:t>
      </w:r>
    </w:p>
    <w:tbl>
      <w:tblPr>
        <w:tblW w:w="0" w:type="auto"/>
        <w:tblCellMar>
          <w:left w:w="100" w:type="dxa"/>
          <w:right w:w="100" w:type="dxa"/>
        </w:tblCellMar>
        <w:tblLook w:val="0000" w:firstRow="0" w:lastRow="0" w:firstColumn="0" w:lastColumn="0" w:noHBand="0" w:noVBand="0"/>
      </w:tblPr>
      <w:tblGrid>
        <w:gridCol w:w="415"/>
        <w:gridCol w:w="1717"/>
        <w:gridCol w:w="739"/>
        <w:gridCol w:w="688"/>
        <w:gridCol w:w="876"/>
        <w:gridCol w:w="900"/>
        <w:gridCol w:w="991"/>
        <w:gridCol w:w="1286"/>
      </w:tblGrid>
      <w:tr>
        <w:tc>
          <w:tcPr>
            <w:tcW w:w="0" w:type="auto"/>
            <w:tcBorders>
              <w:bottom w:val="single" w:sz="4" w:space="0" w:color="auto"/>
            </w:tcBorders>
            <w:shd w:val="clear" w:color="auto" w:fill="auto"/>
            <w:vAlign w:val="center"/>
          </w:tcPr>
          <w:p>
            <w:pPr>
              <w:jc w:val="right"/>
              <w:rPr>
                <w:sz w:val="18"/>
              </w:rPr>
            </w:pPr>
            <w:bookmarkStart w:id="34" w:name="Table25"/>
          </w:p>
        </w:tc>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Total</w:t>
            </w:r>
          </w:p>
        </w:tc>
        <w:tc>
          <w:tcPr>
            <w:tcW w:w="0" w:type="auto"/>
            <w:tcBorders>
              <w:bottom w:val="single" w:sz="4" w:space="0" w:color="auto"/>
            </w:tcBorders>
            <w:shd w:val="clear" w:color="auto" w:fill="auto"/>
            <w:vAlign w:val="center"/>
          </w:tcPr>
          <w:p>
            <w:pPr>
              <w:jc w:val="right"/>
              <w:rPr>
                <w:sz w:val="18"/>
              </w:rPr>
            </w:pPr>
            <w:r>
              <w:rPr>
                <w:sz w:val="18"/>
              </w:rPr>
              <w:t>0h</w:t>
            </w:r>
          </w:p>
        </w:tc>
        <w:tc>
          <w:tcPr>
            <w:tcW w:w="0" w:type="auto"/>
            <w:tcBorders>
              <w:bottom w:val="single" w:sz="4" w:space="0" w:color="auto"/>
            </w:tcBorders>
            <w:shd w:val="clear" w:color="auto" w:fill="auto"/>
            <w:vAlign w:val="center"/>
          </w:tcPr>
          <w:p>
            <w:pPr>
              <w:jc w:val="right"/>
              <w:rPr>
                <w:sz w:val="18"/>
              </w:rPr>
            </w:pPr>
            <w:r>
              <w:rPr>
                <w:sz w:val="18"/>
              </w:rPr>
              <w:t>below 1h</w:t>
            </w:r>
          </w:p>
        </w:tc>
        <w:tc>
          <w:tcPr>
            <w:tcW w:w="0" w:type="auto"/>
            <w:tcBorders>
              <w:bottom w:val="single" w:sz="4" w:space="0" w:color="auto"/>
            </w:tcBorders>
            <w:shd w:val="clear" w:color="auto" w:fill="auto"/>
            <w:vAlign w:val="center"/>
          </w:tcPr>
          <w:p>
            <w:pPr>
              <w:jc w:val="right"/>
              <w:rPr>
                <w:sz w:val="18"/>
              </w:rPr>
            </w:pPr>
            <w:r>
              <w:rPr>
                <w:sz w:val="18"/>
              </w:rPr>
              <w:t>1h to 10h</w:t>
            </w:r>
          </w:p>
        </w:tc>
        <w:tc>
          <w:tcPr>
            <w:tcW w:w="0" w:type="auto"/>
            <w:tcBorders>
              <w:bottom w:val="single" w:sz="4" w:space="0" w:color="auto"/>
            </w:tcBorders>
            <w:shd w:val="clear" w:color="auto" w:fill="auto"/>
            <w:vAlign w:val="center"/>
          </w:tcPr>
          <w:p>
            <w:pPr>
              <w:jc w:val="right"/>
              <w:rPr>
                <w:sz w:val="18"/>
              </w:rPr>
            </w:pPr>
            <w:r>
              <w:rPr>
                <w:sz w:val="18"/>
              </w:rPr>
              <w:t>10h to 30h</w:t>
            </w:r>
          </w:p>
        </w:tc>
        <w:tc>
          <w:tcPr>
            <w:tcW w:w="0" w:type="auto"/>
            <w:tcBorders>
              <w:bottom w:val="single" w:sz="4" w:space="0" w:color="auto"/>
            </w:tcBorders>
            <w:shd w:val="clear" w:color="auto" w:fill="auto"/>
            <w:vAlign w:val="center"/>
          </w:tcPr>
          <w:p>
            <w:pPr>
              <w:jc w:val="right"/>
              <w:rPr>
                <w:sz w:val="18"/>
              </w:rPr>
            </w:pPr>
            <w:r>
              <w:rPr>
                <w:sz w:val="18"/>
              </w:rPr>
              <w:t>more than 30h</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All</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2.940</w:t>
            </w:r>
          </w:p>
        </w:tc>
        <w:tc>
          <w:tcPr>
            <w:tcW w:w="0" w:type="auto"/>
            <w:tcBorders>
              <w:top w:val="single" w:sz="4" w:space="0" w:color="auto"/>
            </w:tcBorders>
            <w:shd w:val="clear" w:color="auto" w:fill="auto"/>
            <w:vAlign w:val="center"/>
          </w:tcPr>
          <w:p>
            <w:pPr>
              <w:jc w:val="right"/>
              <w:rPr>
                <w:sz w:val="18"/>
              </w:rPr>
            </w:pPr>
            <w:r>
              <w:rPr>
                <w:sz w:val="18"/>
              </w:rPr>
              <w:t>41</w:t>
            </w:r>
          </w:p>
        </w:tc>
        <w:tc>
          <w:tcPr>
            <w:tcW w:w="0" w:type="auto"/>
            <w:tcBorders>
              <w:top w:val="single" w:sz="4" w:space="0" w:color="auto"/>
            </w:tcBorders>
            <w:shd w:val="clear" w:color="auto" w:fill="auto"/>
            <w:vAlign w:val="center"/>
          </w:tcPr>
          <w:p>
            <w:pPr>
              <w:jc w:val="right"/>
              <w:rPr>
                <w:sz w:val="18"/>
              </w:rPr>
            </w:pPr>
            <w:r>
              <w:rPr>
                <w:sz w:val="18"/>
              </w:rPr>
              <w:t>1.612</w:t>
            </w:r>
          </w:p>
        </w:tc>
        <w:tc>
          <w:tcPr>
            <w:tcW w:w="0" w:type="auto"/>
            <w:tcBorders>
              <w:top w:val="single" w:sz="4" w:space="0" w:color="auto"/>
            </w:tcBorders>
            <w:shd w:val="clear" w:color="auto" w:fill="auto"/>
            <w:vAlign w:val="center"/>
          </w:tcPr>
          <w:p>
            <w:pPr>
              <w:jc w:val="right"/>
              <w:rPr>
                <w:sz w:val="18"/>
              </w:rPr>
            </w:pPr>
            <w:r>
              <w:rPr>
                <w:sz w:val="18"/>
              </w:rPr>
              <w:t>1.014</w:t>
            </w:r>
          </w:p>
        </w:tc>
        <w:tc>
          <w:tcPr>
            <w:tcW w:w="0" w:type="auto"/>
            <w:tcBorders>
              <w:top w:val="single" w:sz="4" w:space="0" w:color="auto"/>
            </w:tcBorders>
            <w:shd w:val="clear" w:color="auto" w:fill="auto"/>
            <w:vAlign w:val="center"/>
          </w:tcPr>
          <w:p>
            <w:pPr>
              <w:jc w:val="right"/>
              <w:rPr>
                <w:sz w:val="18"/>
              </w:rPr>
            </w:pPr>
            <w:r>
              <w:rPr>
                <w:sz w:val="18"/>
              </w:rPr>
              <w:t>230</w:t>
            </w:r>
          </w:p>
        </w:tc>
        <w:tc>
          <w:tcPr>
            <w:tcW w:w="0" w:type="auto"/>
            <w:tcBorders>
              <w:top w:val="single" w:sz="4" w:space="0" w:color="auto"/>
            </w:tcBorders>
            <w:shd w:val="clear" w:color="auto" w:fill="auto"/>
            <w:vAlign w:val="center"/>
          </w:tcPr>
          <w:p>
            <w:pPr>
              <w:jc w:val="right"/>
              <w:rPr>
                <w:sz w:val="18"/>
              </w:rPr>
            </w:pPr>
            <w:r>
              <w:rPr>
                <w:sz w:val="18"/>
              </w:rPr>
              <w:t>43</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100,0%</w:t>
            </w:r>
          </w:p>
        </w:tc>
        <w:tc>
          <w:tcPr>
            <w:tcW w:w="0" w:type="auto"/>
            <w:tcBorders>
              <w:bottom w:val="single" w:sz="4" w:space="0" w:color="auto"/>
            </w:tcBorders>
            <w:shd w:val="clear" w:color="auto" w:fill="auto"/>
            <w:vAlign w:val="center"/>
          </w:tcPr>
          <w:p>
            <w:pPr>
              <w:jc w:val="right"/>
              <w:rPr>
                <w:sz w:val="18"/>
              </w:rPr>
            </w:pPr>
            <w:r>
              <w:rPr>
                <w:sz w:val="18"/>
              </w:rPr>
              <w:t xml:space="preserve">  1,4%</w:t>
            </w:r>
          </w:p>
        </w:tc>
        <w:tc>
          <w:tcPr>
            <w:tcW w:w="0" w:type="auto"/>
            <w:tcBorders>
              <w:bottom w:val="single" w:sz="4" w:space="0" w:color="auto"/>
            </w:tcBorders>
            <w:shd w:val="clear" w:color="auto" w:fill="auto"/>
            <w:vAlign w:val="center"/>
          </w:tcPr>
          <w:p>
            <w:pPr>
              <w:jc w:val="right"/>
              <w:rPr>
                <w:sz w:val="18"/>
              </w:rPr>
            </w:pPr>
            <w:r>
              <w:rPr>
                <w:sz w:val="18"/>
              </w:rPr>
              <w:t xml:space="preserve"> 54,8%</w:t>
            </w:r>
          </w:p>
        </w:tc>
        <w:tc>
          <w:tcPr>
            <w:tcW w:w="0" w:type="auto"/>
            <w:tcBorders>
              <w:bottom w:val="single" w:sz="4" w:space="0" w:color="auto"/>
            </w:tcBorders>
            <w:shd w:val="clear" w:color="auto" w:fill="auto"/>
            <w:vAlign w:val="center"/>
          </w:tcPr>
          <w:p>
            <w:pPr>
              <w:jc w:val="right"/>
              <w:rPr>
                <w:sz w:val="18"/>
              </w:rPr>
            </w:pPr>
            <w:r>
              <w:rPr>
                <w:sz w:val="18"/>
              </w:rPr>
              <w:t xml:space="preserve"> 34,5%</w:t>
            </w:r>
          </w:p>
        </w:tc>
        <w:tc>
          <w:tcPr>
            <w:tcW w:w="0" w:type="auto"/>
            <w:tcBorders>
              <w:bottom w:val="single" w:sz="4" w:space="0" w:color="auto"/>
            </w:tcBorders>
            <w:shd w:val="clear" w:color="auto" w:fill="auto"/>
            <w:vAlign w:val="center"/>
          </w:tcPr>
          <w:p>
            <w:pPr>
              <w:jc w:val="right"/>
              <w:rPr>
                <w:sz w:val="18"/>
              </w:rPr>
            </w:pPr>
            <w:r>
              <w:rPr>
                <w:sz w:val="18"/>
              </w:rPr>
              <w:t xml:space="preserve">  7,8%</w:t>
            </w:r>
          </w:p>
        </w:tc>
        <w:tc>
          <w:tcPr>
            <w:tcW w:w="0" w:type="auto"/>
            <w:tcBorders>
              <w:bottom w:val="single" w:sz="4" w:space="0" w:color="auto"/>
            </w:tcBorders>
            <w:shd w:val="clear" w:color="auto" w:fill="auto"/>
            <w:vAlign w:val="center"/>
          </w:tcPr>
          <w:p>
            <w:pPr>
              <w:jc w:val="right"/>
              <w:rPr>
                <w:sz w:val="18"/>
              </w:rPr>
            </w:pPr>
            <w:r>
              <w:rPr>
                <w:sz w:val="18"/>
              </w:rPr>
              <w:t xml:space="preserve">  1,5%</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DE</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222</w:t>
            </w:r>
          </w:p>
        </w:tc>
        <w:tc>
          <w:tcPr>
            <w:tcW w:w="0" w:type="auto"/>
            <w:tcBorders>
              <w:top w:val="single" w:sz="4" w:space="0" w:color="auto"/>
            </w:tcBorders>
            <w:shd w:val="clear" w:color="auto" w:fill="auto"/>
            <w:vAlign w:val="center"/>
          </w:tcPr>
          <w:p>
            <w:pPr>
              <w:jc w:val="right"/>
              <w:rPr>
                <w:sz w:val="18"/>
              </w:rPr>
            </w:pPr>
            <w:r>
              <w:rPr>
                <w:sz w:val="18"/>
              </w:rPr>
              <w:t>3</w:t>
            </w:r>
          </w:p>
        </w:tc>
        <w:tc>
          <w:tcPr>
            <w:tcW w:w="0" w:type="auto"/>
            <w:tcBorders>
              <w:top w:val="single" w:sz="4" w:space="0" w:color="auto"/>
            </w:tcBorders>
            <w:shd w:val="clear" w:color="auto" w:fill="auto"/>
            <w:vAlign w:val="center"/>
          </w:tcPr>
          <w:p>
            <w:pPr>
              <w:jc w:val="right"/>
              <w:rPr>
                <w:sz w:val="18"/>
              </w:rPr>
            </w:pPr>
            <w:r>
              <w:rPr>
                <w:sz w:val="18"/>
              </w:rPr>
              <w:t>111</w:t>
            </w:r>
          </w:p>
        </w:tc>
        <w:tc>
          <w:tcPr>
            <w:tcW w:w="0" w:type="auto"/>
            <w:tcBorders>
              <w:top w:val="single" w:sz="4" w:space="0" w:color="auto"/>
            </w:tcBorders>
            <w:shd w:val="clear" w:color="auto" w:fill="auto"/>
            <w:vAlign w:val="center"/>
          </w:tcPr>
          <w:p>
            <w:pPr>
              <w:jc w:val="right"/>
              <w:rPr>
                <w:sz w:val="18"/>
              </w:rPr>
            </w:pPr>
            <w:r>
              <w:rPr>
                <w:sz w:val="18"/>
              </w:rPr>
              <w:t>84</w:t>
            </w:r>
          </w:p>
        </w:tc>
        <w:tc>
          <w:tcPr>
            <w:tcW w:w="0" w:type="auto"/>
            <w:tcBorders>
              <w:top w:val="single" w:sz="4" w:space="0" w:color="auto"/>
            </w:tcBorders>
            <w:shd w:val="clear" w:color="auto" w:fill="auto"/>
            <w:vAlign w:val="center"/>
          </w:tcPr>
          <w:p>
            <w:pPr>
              <w:jc w:val="right"/>
              <w:rPr>
                <w:sz w:val="18"/>
              </w:rPr>
            </w:pPr>
            <w:r>
              <w:rPr>
                <w:sz w:val="18"/>
              </w:rPr>
              <w:t>21</w:t>
            </w:r>
          </w:p>
        </w:tc>
        <w:tc>
          <w:tcPr>
            <w:tcW w:w="0" w:type="auto"/>
            <w:tcBorders>
              <w:top w:val="single" w:sz="4" w:space="0" w:color="auto"/>
            </w:tcBorders>
            <w:shd w:val="clear" w:color="auto" w:fill="auto"/>
            <w:vAlign w:val="center"/>
          </w:tcPr>
          <w:p>
            <w:pPr>
              <w:jc w:val="right"/>
              <w:rPr>
                <w:sz w:val="18"/>
              </w:rPr>
            </w:pPr>
            <w:r>
              <w:rPr>
                <w:sz w:val="18"/>
              </w:rPr>
              <w:t>3</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100,0%</w:t>
            </w:r>
          </w:p>
        </w:tc>
        <w:tc>
          <w:tcPr>
            <w:tcW w:w="0" w:type="auto"/>
            <w:tcBorders>
              <w:bottom w:val="single" w:sz="4" w:space="0" w:color="auto"/>
            </w:tcBorders>
            <w:shd w:val="clear" w:color="auto" w:fill="auto"/>
            <w:vAlign w:val="center"/>
          </w:tcPr>
          <w:p>
            <w:pPr>
              <w:jc w:val="right"/>
              <w:rPr>
                <w:sz w:val="18"/>
              </w:rPr>
            </w:pPr>
            <w:r>
              <w:rPr>
                <w:sz w:val="18"/>
              </w:rPr>
              <w:t xml:space="preserve">  1,4%</w:t>
            </w:r>
          </w:p>
        </w:tc>
        <w:tc>
          <w:tcPr>
            <w:tcW w:w="0" w:type="auto"/>
            <w:tcBorders>
              <w:bottom w:val="single" w:sz="4" w:space="0" w:color="auto"/>
            </w:tcBorders>
            <w:shd w:val="clear" w:color="auto" w:fill="auto"/>
            <w:vAlign w:val="center"/>
          </w:tcPr>
          <w:p>
            <w:pPr>
              <w:jc w:val="right"/>
              <w:rPr>
                <w:sz w:val="18"/>
              </w:rPr>
            </w:pPr>
            <w:r>
              <w:rPr>
                <w:sz w:val="18"/>
              </w:rPr>
              <w:t xml:space="preserve"> 50,0%</w:t>
            </w:r>
          </w:p>
        </w:tc>
        <w:tc>
          <w:tcPr>
            <w:tcW w:w="0" w:type="auto"/>
            <w:tcBorders>
              <w:bottom w:val="single" w:sz="4" w:space="0" w:color="auto"/>
            </w:tcBorders>
            <w:shd w:val="clear" w:color="auto" w:fill="auto"/>
            <w:vAlign w:val="center"/>
          </w:tcPr>
          <w:p>
            <w:pPr>
              <w:jc w:val="right"/>
              <w:rPr>
                <w:sz w:val="18"/>
              </w:rPr>
            </w:pPr>
            <w:r>
              <w:rPr>
                <w:sz w:val="18"/>
              </w:rPr>
              <w:t xml:space="preserve"> 37,8%</w:t>
            </w:r>
          </w:p>
        </w:tc>
        <w:tc>
          <w:tcPr>
            <w:tcW w:w="0" w:type="auto"/>
            <w:tcBorders>
              <w:bottom w:val="single" w:sz="4" w:space="0" w:color="auto"/>
            </w:tcBorders>
            <w:shd w:val="clear" w:color="auto" w:fill="auto"/>
            <w:vAlign w:val="center"/>
          </w:tcPr>
          <w:p>
            <w:pPr>
              <w:jc w:val="right"/>
              <w:rPr>
                <w:sz w:val="18"/>
              </w:rPr>
            </w:pPr>
            <w:r>
              <w:rPr>
                <w:sz w:val="18"/>
              </w:rPr>
              <w:t xml:space="preserve">  9,5%</w:t>
            </w:r>
          </w:p>
        </w:tc>
        <w:tc>
          <w:tcPr>
            <w:tcW w:w="0" w:type="auto"/>
            <w:tcBorders>
              <w:bottom w:val="single" w:sz="4" w:space="0" w:color="auto"/>
            </w:tcBorders>
            <w:shd w:val="clear" w:color="auto" w:fill="auto"/>
            <w:vAlign w:val="center"/>
          </w:tcPr>
          <w:p>
            <w:pPr>
              <w:jc w:val="right"/>
              <w:rPr>
                <w:sz w:val="18"/>
              </w:rPr>
            </w:pPr>
            <w:r>
              <w:rPr>
                <w:sz w:val="18"/>
              </w:rPr>
              <w:t xml:space="preserve">  1,4%</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EN</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1.415</w:t>
            </w:r>
          </w:p>
        </w:tc>
        <w:tc>
          <w:tcPr>
            <w:tcW w:w="0" w:type="auto"/>
            <w:tcBorders>
              <w:top w:val="single" w:sz="4" w:space="0" w:color="auto"/>
            </w:tcBorders>
            <w:shd w:val="clear" w:color="auto" w:fill="auto"/>
            <w:vAlign w:val="center"/>
          </w:tcPr>
          <w:p>
            <w:pPr>
              <w:jc w:val="right"/>
              <w:rPr>
                <w:sz w:val="18"/>
              </w:rPr>
            </w:pPr>
            <w:r>
              <w:rPr>
                <w:sz w:val="18"/>
              </w:rPr>
              <w:t>19</w:t>
            </w:r>
          </w:p>
        </w:tc>
        <w:tc>
          <w:tcPr>
            <w:tcW w:w="0" w:type="auto"/>
            <w:tcBorders>
              <w:top w:val="single" w:sz="4" w:space="0" w:color="auto"/>
            </w:tcBorders>
            <w:shd w:val="clear" w:color="auto" w:fill="auto"/>
            <w:vAlign w:val="center"/>
          </w:tcPr>
          <w:p>
            <w:pPr>
              <w:jc w:val="right"/>
              <w:rPr>
                <w:sz w:val="18"/>
              </w:rPr>
            </w:pPr>
            <w:r>
              <w:rPr>
                <w:sz w:val="18"/>
              </w:rPr>
              <w:t>857</w:t>
            </w:r>
          </w:p>
        </w:tc>
        <w:tc>
          <w:tcPr>
            <w:tcW w:w="0" w:type="auto"/>
            <w:tcBorders>
              <w:top w:val="single" w:sz="4" w:space="0" w:color="auto"/>
            </w:tcBorders>
            <w:shd w:val="clear" w:color="auto" w:fill="auto"/>
            <w:vAlign w:val="center"/>
          </w:tcPr>
          <w:p>
            <w:pPr>
              <w:jc w:val="right"/>
              <w:rPr>
                <w:sz w:val="18"/>
              </w:rPr>
            </w:pPr>
            <w:r>
              <w:rPr>
                <w:sz w:val="18"/>
              </w:rPr>
              <w:t>448</w:t>
            </w:r>
          </w:p>
        </w:tc>
        <w:tc>
          <w:tcPr>
            <w:tcW w:w="0" w:type="auto"/>
            <w:tcBorders>
              <w:top w:val="single" w:sz="4" w:space="0" w:color="auto"/>
            </w:tcBorders>
            <w:shd w:val="clear" w:color="auto" w:fill="auto"/>
            <w:vAlign w:val="center"/>
          </w:tcPr>
          <w:p>
            <w:pPr>
              <w:jc w:val="right"/>
              <w:rPr>
                <w:sz w:val="18"/>
              </w:rPr>
            </w:pPr>
            <w:r>
              <w:rPr>
                <w:sz w:val="18"/>
              </w:rPr>
              <w:t>79</w:t>
            </w:r>
          </w:p>
        </w:tc>
        <w:tc>
          <w:tcPr>
            <w:tcW w:w="0" w:type="auto"/>
            <w:tcBorders>
              <w:top w:val="single" w:sz="4" w:space="0" w:color="auto"/>
            </w:tcBorders>
            <w:shd w:val="clear" w:color="auto" w:fill="auto"/>
            <w:vAlign w:val="center"/>
          </w:tcPr>
          <w:p>
            <w:pPr>
              <w:jc w:val="right"/>
              <w:rPr>
                <w:sz w:val="18"/>
              </w:rPr>
            </w:pPr>
            <w:r>
              <w:rPr>
                <w:sz w:val="18"/>
              </w:rPr>
              <w:t>12</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100,0%</w:t>
            </w:r>
          </w:p>
        </w:tc>
        <w:tc>
          <w:tcPr>
            <w:tcW w:w="0" w:type="auto"/>
            <w:tcBorders>
              <w:bottom w:val="single" w:sz="4" w:space="0" w:color="auto"/>
            </w:tcBorders>
            <w:shd w:val="clear" w:color="auto" w:fill="auto"/>
            <w:vAlign w:val="center"/>
          </w:tcPr>
          <w:p>
            <w:pPr>
              <w:jc w:val="right"/>
              <w:rPr>
                <w:sz w:val="18"/>
              </w:rPr>
            </w:pPr>
            <w:r>
              <w:rPr>
                <w:sz w:val="18"/>
              </w:rPr>
              <w:t xml:space="preserve">  1,3%</w:t>
            </w:r>
          </w:p>
        </w:tc>
        <w:tc>
          <w:tcPr>
            <w:tcW w:w="0" w:type="auto"/>
            <w:tcBorders>
              <w:bottom w:val="single" w:sz="4" w:space="0" w:color="auto"/>
            </w:tcBorders>
            <w:shd w:val="clear" w:color="auto" w:fill="auto"/>
            <w:vAlign w:val="center"/>
          </w:tcPr>
          <w:p>
            <w:pPr>
              <w:jc w:val="right"/>
              <w:rPr>
                <w:sz w:val="18"/>
              </w:rPr>
            </w:pPr>
            <w:r>
              <w:rPr>
                <w:sz w:val="18"/>
              </w:rPr>
              <w:t xml:space="preserve"> 60,6%</w:t>
            </w:r>
          </w:p>
        </w:tc>
        <w:tc>
          <w:tcPr>
            <w:tcW w:w="0" w:type="auto"/>
            <w:tcBorders>
              <w:bottom w:val="single" w:sz="4" w:space="0" w:color="auto"/>
            </w:tcBorders>
            <w:shd w:val="clear" w:color="auto" w:fill="auto"/>
            <w:vAlign w:val="center"/>
          </w:tcPr>
          <w:p>
            <w:pPr>
              <w:jc w:val="right"/>
              <w:rPr>
                <w:sz w:val="18"/>
              </w:rPr>
            </w:pPr>
            <w:r>
              <w:rPr>
                <w:sz w:val="18"/>
              </w:rPr>
              <w:t xml:space="preserve"> 31,7%</w:t>
            </w:r>
          </w:p>
        </w:tc>
        <w:tc>
          <w:tcPr>
            <w:tcW w:w="0" w:type="auto"/>
            <w:tcBorders>
              <w:bottom w:val="single" w:sz="4" w:space="0" w:color="auto"/>
            </w:tcBorders>
            <w:shd w:val="clear" w:color="auto" w:fill="auto"/>
            <w:vAlign w:val="center"/>
          </w:tcPr>
          <w:p>
            <w:pPr>
              <w:jc w:val="right"/>
              <w:rPr>
                <w:sz w:val="18"/>
              </w:rPr>
            </w:pPr>
            <w:r>
              <w:rPr>
                <w:sz w:val="18"/>
              </w:rPr>
              <w:t xml:space="preserve">  5,6%</w:t>
            </w:r>
          </w:p>
        </w:tc>
        <w:tc>
          <w:tcPr>
            <w:tcW w:w="0" w:type="auto"/>
            <w:tcBorders>
              <w:bottom w:val="single" w:sz="4" w:space="0" w:color="auto"/>
            </w:tcBorders>
            <w:shd w:val="clear" w:color="auto" w:fill="auto"/>
            <w:vAlign w:val="center"/>
          </w:tcPr>
          <w:p>
            <w:pPr>
              <w:jc w:val="right"/>
              <w:rPr>
                <w:sz w:val="18"/>
              </w:rPr>
            </w:pPr>
            <w:r>
              <w:rPr>
                <w:sz w:val="18"/>
              </w:rPr>
              <w:t xml:space="preserve">  0,8%</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ES</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864</w:t>
            </w:r>
          </w:p>
        </w:tc>
        <w:tc>
          <w:tcPr>
            <w:tcW w:w="0" w:type="auto"/>
            <w:tcBorders>
              <w:top w:val="single" w:sz="4" w:space="0" w:color="auto"/>
            </w:tcBorders>
            <w:shd w:val="clear" w:color="auto" w:fill="auto"/>
            <w:vAlign w:val="center"/>
          </w:tcPr>
          <w:p>
            <w:pPr>
              <w:jc w:val="right"/>
              <w:rPr>
                <w:sz w:val="18"/>
              </w:rPr>
            </w:pPr>
            <w:r>
              <w:rPr>
                <w:sz w:val="18"/>
              </w:rPr>
              <w:t>12</w:t>
            </w:r>
          </w:p>
        </w:tc>
        <w:tc>
          <w:tcPr>
            <w:tcW w:w="0" w:type="auto"/>
            <w:tcBorders>
              <w:top w:val="single" w:sz="4" w:space="0" w:color="auto"/>
            </w:tcBorders>
            <w:shd w:val="clear" w:color="auto" w:fill="auto"/>
            <w:vAlign w:val="center"/>
          </w:tcPr>
          <w:p>
            <w:pPr>
              <w:jc w:val="right"/>
              <w:rPr>
                <w:sz w:val="18"/>
              </w:rPr>
            </w:pPr>
            <w:r>
              <w:rPr>
                <w:sz w:val="18"/>
              </w:rPr>
              <w:t>408</w:t>
            </w:r>
          </w:p>
        </w:tc>
        <w:tc>
          <w:tcPr>
            <w:tcW w:w="0" w:type="auto"/>
            <w:tcBorders>
              <w:top w:val="single" w:sz="4" w:space="0" w:color="auto"/>
            </w:tcBorders>
            <w:shd w:val="clear" w:color="auto" w:fill="auto"/>
            <w:vAlign w:val="center"/>
          </w:tcPr>
          <w:p>
            <w:pPr>
              <w:jc w:val="right"/>
              <w:rPr>
                <w:sz w:val="18"/>
              </w:rPr>
            </w:pPr>
            <w:r>
              <w:rPr>
                <w:sz w:val="18"/>
              </w:rPr>
              <w:t>328</w:t>
            </w:r>
          </w:p>
        </w:tc>
        <w:tc>
          <w:tcPr>
            <w:tcW w:w="0" w:type="auto"/>
            <w:tcBorders>
              <w:top w:val="single" w:sz="4" w:space="0" w:color="auto"/>
            </w:tcBorders>
            <w:shd w:val="clear" w:color="auto" w:fill="auto"/>
            <w:vAlign w:val="center"/>
          </w:tcPr>
          <w:p>
            <w:pPr>
              <w:jc w:val="right"/>
              <w:rPr>
                <w:sz w:val="18"/>
              </w:rPr>
            </w:pPr>
            <w:r>
              <w:rPr>
                <w:sz w:val="18"/>
              </w:rPr>
              <w:t>98</w:t>
            </w:r>
          </w:p>
        </w:tc>
        <w:tc>
          <w:tcPr>
            <w:tcW w:w="0" w:type="auto"/>
            <w:tcBorders>
              <w:top w:val="single" w:sz="4" w:space="0" w:color="auto"/>
            </w:tcBorders>
            <w:shd w:val="clear" w:color="auto" w:fill="auto"/>
            <w:vAlign w:val="center"/>
          </w:tcPr>
          <w:p>
            <w:pPr>
              <w:jc w:val="right"/>
              <w:rPr>
                <w:sz w:val="18"/>
              </w:rPr>
            </w:pPr>
            <w:r>
              <w:rPr>
                <w:sz w:val="18"/>
              </w:rPr>
              <w:t>18</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100,0%</w:t>
            </w:r>
          </w:p>
        </w:tc>
        <w:tc>
          <w:tcPr>
            <w:tcW w:w="0" w:type="auto"/>
            <w:tcBorders>
              <w:bottom w:val="single" w:sz="4" w:space="0" w:color="auto"/>
            </w:tcBorders>
            <w:shd w:val="clear" w:color="auto" w:fill="auto"/>
            <w:vAlign w:val="center"/>
          </w:tcPr>
          <w:p>
            <w:pPr>
              <w:jc w:val="right"/>
              <w:rPr>
                <w:sz w:val="18"/>
              </w:rPr>
            </w:pPr>
            <w:r>
              <w:rPr>
                <w:sz w:val="18"/>
              </w:rPr>
              <w:t xml:space="preserve">  1,4%</w:t>
            </w:r>
          </w:p>
        </w:tc>
        <w:tc>
          <w:tcPr>
            <w:tcW w:w="0" w:type="auto"/>
            <w:tcBorders>
              <w:bottom w:val="single" w:sz="4" w:space="0" w:color="auto"/>
            </w:tcBorders>
            <w:shd w:val="clear" w:color="auto" w:fill="auto"/>
            <w:vAlign w:val="center"/>
          </w:tcPr>
          <w:p>
            <w:pPr>
              <w:jc w:val="right"/>
              <w:rPr>
                <w:sz w:val="18"/>
              </w:rPr>
            </w:pPr>
            <w:r>
              <w:rPr>
                <w:sz w:val="18"/>
              </w:rPr>
              <w:t xml:space="preserve"> 47,2%</w:t>
            </w:r>
          </w:p>
        </w:tc>
        <w:tc>
          <w:tcPr>
            <w:tcW w:w="0" w:type="auto"/>
            <w:tcBorders>
              <w:bottom w:val="single" w:sz="4" w:space="0" w:color="auto"/>
            </w:tcBorders>
            <w:shd w:val="clear" w:color="auto" w:fill="auto"/>
            <w:vAlign w:val="center"/>
          </w:tcPr>
          <w:p>
            <w:pPr>
              <w:jc w:val="right"/>
              <w:rPr>
                <w:sz w:val="18"/>
              </w:rPr>
            </w:pPr>
            <w:r>
              <w:rPr>
                <w:sz w:val="18"/>
              </w:rPr>
              <w:t xml:space="preserve"> 38,0%</w:t>
            </w:r>
          </w:p>
        </w:tc>
        <w:tc>
          <w:tcPr>
            <w:tcW w:w="0" w:type="auto"/>
            <w:tcBorders>
              <w:bottom w:val="single" w:sz="4" w:space="0" w:color="auto"/>
            </w:tcBorders>
            <w:shd w:val="clear" w:color="auto" w:fill="auto"/>
            <w:vAlign w:val="center"/>
          </w:tcPr>
          <w:p>
            <w:pPr>
              <w:jc w:val="right"/>
              <w:rPr>
                <w:sz w:val="18"/>
              </w:rPr>
            </w:pPr>
            <w:r>
              <w:rPr>
                <w:sz w:val="18"/>
              </w:rPr>
              <w:t xml:space="preserve"> 11,3%</w:t>
            </w:r>
          </w:p>
        </w:tc>
        <w:tc>
          <w:tcPr>
            <w:tcW w:w="0" w:type="auto"/>
            <w:tcBorders>
              <w:bottom w:val="single" w:sz="4" w:space="0" w:color="auto"/>
            </w:tcBorders>
            <w:shd w:val="clear" w:color="auto" w:fill="auto"/>
            <w:vAlign w:val="center"/>
          </w:tcPr>
          <w:p>
            <w:pPr>
              <w:jc w:val="right"/>
              <w:rPr>
                <w:sz w:val="18"/>
              </w:rPr>
            </w:pPr>
            <w:r>
              <w:rPr>
                <w:sz w:val="18"/>
              </w:rPr>
              <w:t xml:space="preserve">  2,1%</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FR</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6</w:t>
            </w:r>
          </w:p>
        </w:tc>
        <w:tc>
          <w:tcPr>
            <w:tcW w:w="0" w:type="auto"/>
            <w:tcBorders>
              <w:top w:val="single" w:sz="4" w:space="0" w:color="auto"/>
            </w:tcBorders>
            <w:shd w:val="clear" w:color="auto" w:fill="auto"/>
            <w:vAlign w:val="center"/>
          </w:tcPr>
          <w:p>
            <w:pPr>
              <w:jc w:val="right"/>
              <w:rPr>
                <w:sz w:val="18"/>
              </w:rPr>
            </w:pPr>
            <w:r>
              <w:rPr>
                <w:sz w:val="18"/>
              </w:rPr>
              <w:t>1</w:t>
            </w:r>
          </w:p>
        </w:tc>
        <w:tc>
          <w:tcPr>
            <w:tcW w:w="0" w:type="auto"/>
            <w:tcBorders>
              <w:top w:val="single" w:sz="4" w:space="0" w:color="auto"/>
            </w:tcBorders>
            <w:shd w:val="clear" w:color="auto" w:fill="auto"/>
            <w:vAlign w:val="center"/>
          </w:tcPr>
          <w:p>
            <w:pPr>
              <w:jc w:val="right"/>
              <w:rPr>
                <w:sz w:val="18"/>
              </w:rPr>
            </w:pPr>
            <w:r>
              <w:rPr>
                <w:sz w:val="18"/>
              </w:rPr>
              <w:t>4</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1</w:t>
            </w:r>
          </w:p>
        </w:tc>
        <w:tc>
          <w:tcPr>
            <w:tcW w:w="0" w:type="auto"/>
            <w:tcBorders>
              <w:top w:val="single" w:sz="4" w:space="0" w:color="auto"/>
            </w:tcBorders>
            <w:shd w:val="clear" w:color="auto" w:fill="auto"/>
            <w:vAlign w:val="center"/>
          </w:tcPr>
          <w:p>
            <w:pPr>
              <w:jc w:val="right"/>
              <w:rPr>
                <w:sz w:val="18"/>
              </w:rPr>
            </w:pPr>
            <w:r>
              <w:rPr>
                <w:sz w:val="18"/>
              </w:rPr>
              <w:t>0</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100,0%</w:t>
            </w:r>
          </w:p>
        </w:tc>
        <w:tc>
          <w:tcPr>
            <w:tcW w:w="0" w:type="auto"/>
            <w:tcBorders>
              <w:bottom w:val="single" w:sz="4" w:space="0" w:color="auto"/>
            </w:tcBorders>
            <w:shd w:val="clear" w:color="auto" w:fill="auto"/>
            <w:vAlign w:val="center"/>
          </w:tcPr>
          <w:p>
            <w:pPr>
              <w:jc w:val="right"/>
              <w:rPr>
                <w:sz w:val="18"/>
              </w:rPr>
            </w:pPr>
            <w:r>
              <w:rPr>
                <w:sz w:val="18"/>
              </w:rPr>
              <w:t xml:space="preserve"> 16,7%</w:t>
            </w:r>
          </w:p>
        </w:tc>
        <w:tc>
          <w:tcPr>
            <w:tcW w:w="0" w:type="auto"/>
            <w:tcBorders>
              <w:bottom w:val="single" w:sz="4" w:space="0" w:color="auto"/>
            </w:tcBorders>
            <w:shd w:val="clear" w:color="auto" w:fill="auto"/>
            <w:vAlign w:val="center"/>
          </w:tcPr>
          <w:p>
            <w:pPr>
              <w:jc w:val="right"/>
              <w:rPr>
                <w:sz w:val="18"/>
              </w:rPr>
            </w:pPr>
            <w:r>
              <w:rPr>
                <w:sz w:val="18"/>
              </w:rPr>
              <w:t xml:space="preserve"> 66,7%</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 xml:space="preserve"> 16,7%</w:t>
            </w:r>
          </w:p>
        </w:tc>
        <w:tc>
          <w:tcPr>
            <w:tcW w:w="0" w:type="auto"/>
            <w:tcBorders>
              <w:bottom w:val="single" w:sz="4" w:space="0" w:color="auto"/>
            </w:tcBorders>
            <w:shd w:val="clear" w:color="auto" w:fill="auto"/>
            <w:vAlign w:val="center"/>
          </w:tcPr>
          <w:p>
            <w:pPr>
              <w:jc w:val="right"/>
              <w:rPr>
                <w:sz w:val="18"/>
              </w:rPr>
            </w:pPr>
            <w:r>
              <w:rPr>
                <w:sz w:val="18"/>
              </w:rPr>
              <w:t xml:space="preserve">  0,0%</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IT</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311</w:t>
            </w:r>
          </w:p>
        </w:tc>
        <w:tc>
          <w:tcPr>
            <w:tcW w:w="0" w:type="auto"/>
            <w:tcBorders>
              <w:top w:val="single" w:sz="4" w:space="0" w:color="auto"/>
            </w:tcBorders>
            <w:shd w:val="clear" w:color="auto" w:fill="auto"/>
            <w:vAlign w:val="center"/>
          </w:tcPr>
          <w:p>
            <w:pPr>
              <w:jc w:val="right"/>
              <w:rPr>
                <w:sz w:val="18"/>
              </w:rPr>
            </w:pPr>
            <w:r>
              <w:rPr>
                <w:sz w:val="18"/>
              </w:rPr>
              <w:t>4</w:t>
            </w:r>
          </w:p>
        </w:tc>
        <w:tc>
          <w:tcPr>
            <w:tcW w:w="0" w:type="auto"/>
            <w:tcBorders>
              <w:top w:val="single" w:sz="4" w:space="0" w:color="auto"/>
            </w:tcBorders>
            <w:shd w:val="clear" w:color="auto" w:fill="auto"/>
            <w:vAlign w:val="center"/>
          </w:tcPr>
          <w:p>
            <w:pPr>
              <w:jc w:val="right"/>
              <w:rPr>
                <w:sz w:val="18"/>
              </w:rPr>
            </w:pPr>
            <w:r>
              <w:rPr>
                <w:sz w:val="18"/>
              </w:rPr>
              <w:t>162</w:t>
            </w:r>
          </w:p>
        </w:tc>
        <w:tc>
          <w:tcPr>
            <w:tcW w:w="0" w:type="auto"/>
            <w:tcBorders>
              <w:top w:val="single" w:sz="4" w:space="0" w:color="auto"/>
            </w:tcBorders>
            <w:shd w:val="clear" w:color="auto" w:fill="auto"/>
            <w:vAlign w:val="center"/>
          </w:tcPr>
          <w:p>
            <w:pPr>
              <w:jc w:val="right"/>
              <w:rPr>
                <w:sz w:val="18"/>
              </w:rPr>
            </w:pPr>
            <w:r>
              <w:rPr>
                <w:sz w:val="18"/>
              </w:rPr>
              <w:t>111</w:t>
            </w:r>
          </w:p>
        </w:tc>
        <w:tc>
          <w:tcPr>
            <w:tcW w:w="0" w:type="auto"/>
            <w:tcBorders>
              <w:top w:val="single" w:sz="4" w:space="0" w:color="auto"/>
            </w:tcBorders>
            <w:shd w:val="clear" w:color="auto" w:fill="auto"/>
            <w:vAlign w:val="center"/>
          </w:tcPr>
          <w:p>
            <w:pPr>
              <w:jc w:val="right"/>
              <w:rPr>
                <w:sz w:val="18"/>
              </w:rPr>
            </w:pPr>
            <w:r>
              <w:rPr>
                <w:sz w:val="18"/>
              </w:rPr>
              <w:t>25</w:t>
            </w:r>
          </w:p>
        </w:tc>
        <w:tc>
          <w:tcPr>
            <w:tcW w:w="0" w:type="auto"/>
            <w:tcBorders>
              <w:top w:val="single" w:sz="4" w:space="0" w:color="auto"/>
            </w:tcBorders>
            <w:shd w:val="clear" w:color="auto" w:fill="auto"/>
            <w:vAlign w:val="center"/>
          </w:tcPr>
          <w:p>
            <w:pPr>
              <w:jc w:val="right"/>
              <w:rPr>
                <w:sz w:val="18"/>
              </w:rPr>
            </w:pPr>
            <w:r>
              <w:rPr>
                <w:sz w:val="18"/>
              </w:rPr>
              <w:t>9</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100,0%</w:t>
            </w:r>
          </w:p>
        </w:tc>
        <w:tc>
          <w:tcPr>
            <w:tcW w:w="0" w:type="auto"/>
            <w:tcBorders>
              <w:bottom w:val="single" w:sz="4" w:space="0" w:color="auto"/>
            </w:tcBorders>
            <w:shd w:val="clear" w:color="auto" w:fill="auto"/>
            <w:vAlign w:val="center"/>
          </w:tcPr>
          <w:p>
            <w:pPr>
              <w:jc w:val="right"/>
              <w:rPr>
                <w:sz w:val="18"/>
              </w:rPr>
            </w:pPr>
            <w:r>
              <w:rPr>
                <w:sz w:val="18"/>
              </w:rPr>
              <w:t xml:space="preserve">  1,3%</w:t>
            </w:r>
          </w:p>
        </w:tc>
        <w:tc>
          <w:tcPr>
            <w:tcW w:w="0" w:type="auto"/>
            <w:tcBorders>
              <w:bottom w:val="single" w:sz="4" w:space="0" w:color="auto"/>
            </w:tcBorders>
            <w:shd w:val="clear" w:color="auto" w:fill="auto"/>
            <w:vAlign w:val="center"/>
          </w:tcPr>
          <w:p>
            <w:pPr>
              <w:jc w:val="right"/>
              <w:rPr>
                <w:sz w:val="18"/>
              </w:rPr>
            </w:pPr>
            <w:r>
              <w:rPr>
                <w:sz w:val="18"/>
              </w:rPr>
              <w:t xml:space="preserve"> 52,1%</w:t>
            </w:r>
          </w:p>
        </w:tc>
        <w:tc>
          <w:tcPr>
            <w:tcW w:w="0" w:type="auto"/>
            <w:tcBorders>
              <w:bottom w:val="single" w:sz="4" w:space="0" w:color="auto"/>
            </w:tcBorders>
            <w:shd w:val="clear" w:color="auto" w:fill="auto"/>
            <w:vAlign w:val="center"/>
          </w:tcPr>
          <w:p>
            <w:pPr>
              <w:jc w:val="right"/>
              <w:rPr>
                <w:sz w:val="18"/>
              </w:rPr>
            </w:pPr>
            <w:r>
              <w:rPr>
                <w:sz w:val="18"/>
              </w:rPr>
              <w:t xml:space="preserve"> 35,7%</w:t>
            </w:r>
          </w:p>
        </w:tc>
        <w:tc>
          <w:tcPr>
            <w:tcW w:w="0" w:type="auto"/>
            <w:tcBorders>
              <w:bottom w:val="single" w:sz="4" w:space="0" w:color="auto"/>
            </w:tcBorders>
            <w:shd w:val="clear" w:color="auto" w:fill="auto"/>
            <w:vAlign w:val="center"/>
          </w:tcPr>
          <w:p>
            <w:pPr>
              <w:jc w:val="right"/>
              <w:rPr>
                <w:sz w:val="18"/>
              </w:rPr>
            </w:pPr>
            <w:r>
              <w:rPr>
                <w:sz w:val="18"/>
              </w:rPr>
              <w:t xml:space="preserve">  8,0%</w:t>
            </w:r>
          </w:p>
        </w:tc>
        <w:tc>
          <w:tcPr>
            <w:tcW w:w="0" w:type="auto"/>
            <w:tcBorders>
              <w:bottom w:val="single" w:sz="4" w:space="0" w:color="auto"/>
            </w:tcBorders>
            <w:shd w:val="clear" w:color="auto" w:fill="auto"/>
            <w:vAlign w:val="center"/>
          </w:tcPr>
          <w:p>
            <w:pPr>
              <w:jc w:val="right"/>
              <w:rPr>
                <w:sz w:val="18"/>
              </w:rPr>
            </w:pPr>
            <w:r>
              <w:rPr>
                <w:sz w:val="18"/>
              </w:rPr>
              <w:t xml:space="preserve">  2,9%</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NL</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70</w:t>
            </w:r>
          </w:p>
        </w:tc>
        <w:tc>
          <w:tcPr>
            <w:tcW w:w="0" w:type="auto"/>
            <w:tcBorders>
              <w:top w:val="single" w:sz="4" w:space="0" w:color="auto"/>
            </w:tcBorders>
            <w:shd w:val="clear" w:color="auto" w:fill="auto"/>
            <w:vAlign w:val="center"/>
          </w:tcPr>
          <w:p>
            <w:pPr>
              <w:jc w:val="right"/>
              <w:rPr>
                <w:sz w:val="18"/>
              </w:rPr>
            </w:pPr>
            <w:r>
              <w:rPr>
                <w:sz w:val="18"/>
              </w:rPr>
              <w:t>2</w:t>
            </w:r>
          </w:p>
        </w:tc>
        <w:tc>
          <w:tcPr>
            <w:tcW w:w="0" w:type="auto"/>
            <w:tcBorders>
              <w:top w:val="single" w:sz="4" w:space="0" w:color="auto"/>
            </w:tcBorders>
            <w:shd w:val="clear" w:color="auto" w:fill="auto"/>
            <w:vAlign w:val="center"/>
          </w:tcPr>
          <w:p>
            <w:pPr>
              <w:jc w:val="right"/>
              <w:rPr>
                <w:sz w:val="18"/>
              </w:rPr>
            </w:pPr>
            <w:r>
              <w:rPr>
                <w:sz w:val="18"/>
              </w:rPr>
              <w:t>50</w:t>
            </w:r>
          </w:p>
        </w:tc>
        <w:tc>
          <w:tcPr>
            <w:tcW w:w="0" w:type="auto"/>
            <w:tcBorders>
              <w:top w:val="single" w:sz="4" w:space="0" w:color="auto"/>
            </w:tcBorders>
            <w:shd w:val="clear" w:color="auto" w:fill="auto"/>
            <w:vAlign w:val="center"/>
          </w:tcPr>
          <w:p>
            <w:pPr>
              <w:jc w:val="right"/>
              <w:rPr>
                <w:sz w:val="18"/>
              </w:rPr>
            </w:pPr>
            <w:r>
              <w:rPr>
                <w:sz w:val="18"/>
              </w:rPr>
              <w:t>15</w:t>
            </w:r>
          </w:p>
        </w:tc>
        <w:tc>
          <w:tcPr>
            <w:tcW w:w="0" w:type="auto"/>
            <w:tcBorders>
              <w:top w:val="single" w:sz="4" w:space="0" w:color="auto"/>
            </w:tcBorders>
            <w:shd w:val="clear" w:color="auto" w:fill="auto"/>
            <w:vAlign w:val="center"/>
          </w:tcPr>
          <w:p>
            <w:pPr>
              <w:jc w:val="right"/>
              <w:rPr>
                <w:sz w:val="18"/>
              </w:rPr>
            </w:pPr>
            <w:r>
              <w:rPr>
                <w:sz w:val="18"/>
              </w:rPr>
              <w:t>3</w:t>
            </w:r>
          </w:p>
        </w:tc>
        <w:tc>
          <w:tcPr>
            <w:tcW w:w="0" w:type="auto"/>
            <w:tcBorders>
              <w:top w:val="single" w:sz="4" w:space="0" w:color="auto"/>
            </w:tcBorders>
            <w:shd w:val="clear" w:color="auto" w:fill="auto"/>
            <w:vAlign w:val="center"/>
          </w:tcPr>
          <w:p>
            <w:pPr>
              <w:jc w:val="right"/>
              <w:rPr>
                <w:sz w:val="18"/>
              </w:rPr>
            </w:pPr>
            <w:r>
              <w:rPr>
                <w:sz w:val="18"/>
              </w:rPr>
              <w:t>0</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100,0%</w:t>
            </w:r>
          </w:p>
        </w:tc>
        <w:tc>
          <w:tcPr>
            <w:tcW w:w="0" w:type="auto"/>
            <w:tcBorders>
              <w:bottom w:val="single" w:sz="4" w:space="0" w:color="auto"/>
            </w:tcBorders>
            <w:shd w:val="clear" w:color="auto" w:fill="auto"/>
            <w:vAlign w:val="center"/>
          </w:tcPr>
          <w:p>
            <w:pPr>
              <w:jc w:val="right"/>
              <w:rPr>
                <w:sz w:val="18"/>
              </w:rPr>
            </w:pPr>
            <w:r>
              <w:rPr>
                <w:sz w:val="18"/>
              </w:rPr>
              <w:t xml:space="preserve">  2,9%</w:t>
            </w:r>
          </w:p>
        </w:tc>
        <w:tc>
          <w:tcPr>
            <w:tcW w:w="0" w:type="auto"/>
            <w:tcBorders>
              <w:bottom w:val="single" w:sz="4" w:space="0" w:color="auto"/>
            </w:tcBorders>
            <w:shd w:val="clear" w:color="auto" w:fill="auto"/>
            <w:vAlign w:val="center"/>
          </w:tcPr>
          <w:p>
            <w:pPr>
              <w:jc w:val="right"/>
              <w:rPr>
                <w:sz w:val="18"/>
              </w:rPr>
            </w:pPr>
            <w:r>
              <w:rPr>
                <w:sz w:val="18"/>
              </w:rPr>
              <w:t xml:space="preserve"> 71,4%</w:t>
            </w:r>
          </w:p>
        </w:tc>
        <w:tc>
          <w:tcPr>
            <w:tcW w:w="0" w:type="auto"/>
            <w:tcBorders>
              <w:bottom w:val="single" w:sz="4" w:space="0" w:color="auto"/>
            </w:tcBorders>
            <w:shd w:val="clear" w:color="auto" w:fill="auto"/>
            <w:vAlign w:val="center"/>
          </w:tcPr>
          <w:p>
            <w:pPr>
              <w:jc w:val="right"/>
              <w:rPr>
                <w:sz w:val="18"/>
              </w:rPr>
            </w:pPr>
            <w:r>
              <w:rPr>
                <w:sz w:val="18"/>
              </w:rPr>
              <w:t xml:space="preserve"> 21,4%</w:t>
            </w:r>
          </w:p>
        </w:tc>
        <w:tc>
          <w:tcPr>
            <w:tcW w:w="0" w:type="auto"/>
            <w:tcBorders>
              <w:bottom w:val="single" w:sz="4" w:space="0" w:color="auto"/>
            </w:tcBorders>
            <w:shd w:val="clear" w:color="auto" w:fill="auto"/>
            <w:vAlign w:val="center"/>
          </w:tcPr>
          <w:p>
            <w:pPr>
              <w:jc w:val="right"/>
              <w:rPr>
                <w:sz w:val="18"/>
              </w:rPr>
            </w:pPr>
            <w:r>
              <w:rPr>
                <w:sz w:val="18"/>
              </w:rPr>
              <w:t xml:space="preserve">  4,3%</w:t>
            </w:r>
          </w:p>
        </w:tc>
        <w:tc>
          <w:tcPr>
            <w:tcW w:w="0" w:type="auto"/>
            <w:tcBorders>
              <w:bottom w:val="single" w:sz="4" w:space="0" w:color="auto"/>
            </w:tcBorders>
            <w:shd w:val="clear" w:color="auto" w:fill="auto"/>
            <w:vAlign w:val="center"/>
          </w:tcPr>
          <w:p>
            <w:pPr>
              <w:jc w:val="right"/>
              <w:rPr>
                <w:sz w:val="18"/>
              </w:rPr>
            </w:pPr>
            <w:r>
              <w:rPr>
                <w:sz w:val="18"/>
              </w:rPr>
              <w:t xml:space="preserve">  0,0%</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CS</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3</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1</w:t>
            </w:r>
          </w:p>
        </w:tc>
        <w:tc>
          <w:tcPr>
            <w:tcW w:w="0" w:type="auto"/>
            <w:tcBorders>
              <w:top w:val="single" w:sz="4" w:space="0" w:color="auto"/>
            </w:tcBorders>
            <w:shd w:val="clear" w:color="auto" w:fill="auto"/>
            <w:vAlign w:val="center"/>
          </w:tcPr>
          <w:p>
            <w:pPr>
              <w:jc w:val="right"/>
              <w:rPr>
                <w:sz w:val="18"/>
              </w:rPr>
            </w:pPr>
            <w:r>
              <w:rPr>
                <w:sz w:val="18"/>
              </w:rPr>
              <w:t>2</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0</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100,0%</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 xml:space="preserve"> 33,3%</w:t>
            </w:r>
          </w:p>
        </w:tc>
        <w:tc>
          <w:tcPr>
            <w:tcW w:w="0" w:type="auto"/>
            <w:tcBorders>
              <w:bottom w:val="single" w:sz="4" w:space="0" w:color="auto"/>
            </w:tcBorders>
            <w:shd w:val="clear" w:color="auto" w:fill="auto"/>
            <w:vAlign w:val="center"/>
          </w:tcPr>
          <w:p>
            <w:pPr>
              <w:jc w:val="right"/>
              <w:rPr>
                <w:sz w:val="18"/>
              </w:rPr>
            </w:pPr>
            <w:r>
              <w:rPr>
                <w:sz w:val="18"/>
              </w:rPr>
              <w:t xml:space="preserve"> 66,7%</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 xml:space="preserve">  0,0%</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DA</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3</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3</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0</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0%</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EL</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1</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1</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0</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0%</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PL</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2</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1</w:t>
            </w:r>
          </w:p>
        </w:tc>
        <w:tc>
          <w:tcPr>
            <w:tcW w:w="0" w:type="auto"/>
            <w:tcBorders>
              <w:top w:val="single" w:sz="4" w:space="0" w:color="auto"/>
            </w:tcBorders>
            <w:shd w:val="clear" w:color="auto" w:fill="auto"/>
            <w:vAlign w:val="center"/>
          </w:tcPr>
          <w:p>
            <w:pPr>
              <w:jc w:val="right"/>
              <w:rPr>
                <w:sz w:val="18"/>
              </w:rPr>
            </w:pPr>
            <w:r>
              <w:rPr>
                <w:sz w:val="18"/>
              </w:rPr>
              <w:t>1</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0</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50%</w:t>
            </w:r>
          </w:p>
        </w:tc>
        <w:tc>
          <w:tcPr>
            <w:tcW w:w="0" w:type="auto"/>
            <w:tcBorders>
              <w:bottom w:val="single" w:sz="4" w:space="0" w:color="auto"/>
            </w:tcBorders>
            <w:shd w:val="clear" w:color="auto" w:fill="auto"/>
            <w:vAlign w:val="center"/>
          </w:tcPr>
          <w:p>
            <w:pPr>
              <w:jc w:val="right"/>
              <w:rPr>
                <w:sz w:val="18"/>
              </w:rPr>
            </w:pPr>
            <w:r>
              <w:rPr>
                <w:sz w:val="18"/>
              </w:rPr>
              <w:t xml:space="preserve"> 50%</w:t>
            </w:r>
          </w:p>
        </w:tc>
        <w:tc>
          <w:tcPr>
            <w:tcW w:w="0" w:type="auto"/>
            <w:tcBorders>
              <w:bottom w:val="single" w:sz="4" w:space="0" w:color="auto"/>
            </w:tcBorders>
            <w:shd w:val="clear" w:color="auto" w:fill="auto"/>
            <w:vAlign w:val="center"/>
          </w:tcPr>
          <w:p>
            <w:pPr>
              <w:jc w:val="right"/>
              <w:rPr>
                <w:sz w:val="18"/>
              </w:rPr>
            </w:pPr>
            <w:r>
              <w:rPr>
                <w:sz w:val="18"/>
              </w:rPr>
              <w:t xml:space="preserve">  0%</w:t>
            </w:r>
          </w:p>
        </w:tc>
        <w:tc>
          <w:tcPr>
            <w:tcW w:w="0" w:type="auto"/>
            <w:tcBorders>
              <w:bottom w:val="single" w:sz="4" w:space="0" w:color="auto"/>
            </w:tcBorders>
            <w:shd w:val="clear" w:color="auto" w:fill="auto"/>
            <w:vAlign w:val="center"/>
          </w:tcPr>
          <w:p>
            <w:pPr>
              <w:jc w:val="right"/>
              <w:rPr>
                <w:sz w:val="18"/>
              </w:rPr>
            </w:pPr>
            <w:r>
              <w:rPr>
                <w:sz w:val="18"/>
              </w:rPr>
              <w:t xml:space="preserve">  0%</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PT</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35</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13</w:t>
            </w:r>
          </w:p>
        </w:tc>
        <w:tc>
          <w:tcPr>
            <w:tcW w:w="0" w:type="auto"/>
            <w:tcBorders>
              <w:top w:val="single" w:sz="4" w:space="0" w:color="auto"/>
            </w:tcBorders>
            <w:shd w:val="clear" w:color="auto" w:fill="auto"/>
            <w:vAlign w:val="center"/>
          </w:tcPr>
          <w:p>
            <w:pPr>
              <w:jc w:val="right"/>
              <w:rPr>
                <w:sz w:val="18"/>
              </w:rPr>
            </w:pPr>
            <w:r>
              <w:rPr>
                <w:sz w:val="18"/>
              </w:rPr>
              <w:t>18</w:t>
            </w:r>
          </w:p>
        </w:tc>
        <w:tc>
          <w:tcPr>
            <w:tcW w:w="0" w:type="auto"/>
            <w:tcBorders>
              <w:top w:val="single" w:sz="4" w:space="0" w:color="auto"/>
            </w:tcBorders>
            <w:shd w:val="clear" w:color="auto" w:fill="auto"/>
            <w:vAlign w:val="center"/>
          </w:tcPr>
          <w:p>
            <w:pPr>
              <w:jc w:val="right"/>
              <w:rPr>
                <w:sz w:val="18"/>
              </w:rPr>
            </w:pPr>
            <w:r>
              <w:rPr>
                <w:sz w:val="18"/>
              </w:rPr>
              <w:t>3</w:t>
            </w:r>
          </w:p>
        </w:tc>
        <w:tc>
          <w:tcPr>
            <w:tcW w:w="0" w:type="auto"/>
            <w:tcBorders>
              <w:top w:val="single" w:sz="4" w:space="0" w:color="auto"/>
            </w:tcBorders>
            <w:shd w:val="clear" w:color="auto" w:fill="auto"/>
            <w:vAlign w:val="center"/>
          </w:tcPr>
          <w:p>
            <w:pPr>
              <w:jc w:val="right"/>
              <w:rPr>
                <w:sz w:val="18"/>
              </w:rPr>
            </w:pPr>
            <w:r>
              <w:rPr>
                <w:sz w:val="18"/>
              </w:rPr>
              <w:t>1</w:t>
            </w:r>
          </w:p>
        </w:tc>
      </w:tr>
      <w:tr>
        <w:trPr>
          <w:trHeight w:hRule="exact" w:val="280"/>
        </w:trPr>
        <w:tc>
          <w:tcPr>
            <w:tcW w:w="0" w:type="auto"/>
            <w:tcBorders>
              <w:bottom w:val="single" w:sz="4" w:space="0" w:color="auto"/>
            </w:tcBorders>
            <w:shd w:val="clear" w:color="auto" w:fill="auto"/>
            <w:vAlign w:val="center"/>
          </w:tcPr>
          <w:p>
            <w:pPr>
              <w:jc w:val="right"/>
              <w:rPr>
                <w:sz w:val="18"/>
              </w:rPr>
            </w:pPr>
          </w:p>
        </w:tc>
        <w:tc>
          <w:tcPr>
            <w:tcW w:w="0" w:type="auto"/>
            <w:tcBorders>
              <w:bottom w:val="single" w:sz="4" w:space="0" w:color="auto"/>
            </w:tcBorders>
            <w:shd w:val="clear" w:color="auto" w:fill="auto"/>
            <w:vAlign w:val="center"/>
          </w:tcPr>
          <w:p>
            <w:pPr>
              <w:jc w:val="right"/>
              <w:rPr>
                <w:sz w:val="18"/>
              </w:rPr>
            </w:pPr>
            <w:r>
              <w:rPr>
                <w:sz w:val="18"/>
              </w:rPr>
              <w:t>%</w:t>
            </w:r>
          </w:p>
        </w:tc>
        <w:tc>
          <w:tcPr>
            <w:tcW w:w="0" w:type="auto"/>
            <w:tcBorders>
              <w:bottom w:val="single" w:sz="4" w:space="0" w:color="auto"/>
            </w:tcBorders>
            <w:shd w:val="clear" w:color="auto" w:fill="auto"/>
            <w:vAlign w:val="center"/>
          </w:tcPr>
          <w:p>
            <w:pPr>
              <w:jc w:val="right"/>
              <w:rPr>
                <w:sz w:val="18"/>
              </w:rPr>
            </w:pPr>
            <w:r>
              <w:rPr>
                <w:sz w:val="18"/>
              </w:rPr>
              <w:t>100,0%</w:t>
            </w:r>
          </w:p>
        </w:tc>
        <w:tc>
          <w:tcPr>
            <w:tcW w:w="0" w:type="auto"/>
            <w:tcBorders>
              <w:bottom w:val="single" w:sz="4" w:space="0" w:color="auto"/>
            </w:tcBorders>
            <w:shd w:val="clear" w:color="auto" w:fill="auto"/>
            <w:vAlign w:val="center"/>
          </w:tcPr>
          <w:p>
            <w:pPr>
              <w:jc w:val="right"/>
              <w:rPr>
                <w:sz w:val="18"/>
              </w:rPr>
            </w:pPr>
            <w:r>
              <w:rPr>
                <w:sz w:val="18"/>
              </w:rPr>
              <w:t xml:space="preserve">  0,0%</w:t>
            </w:r>
          </w:p>
        </w:tc>
        <w:tc>
          <w:tcPr>
            <w:tcW w:w="0" w:type="auto"/>
            <w:tcBorders>
              <w:bottom w:val="single" w:sz="4" w:space="0" w:color="auto"/>
            </w:tcBorders>
            <w:shd w:val="clear" w:color="auto" w:fill="auto"/>
            <w:vAlign w:val="center"/>
          </w:tcPr>
          <w:p>
            <w:pPr>
              <w:jc w:val="right"/>
              <w:rPr>
                <w:sz w:val="18"/>
              </w:rPr>
            </w:pPr>
            <w:r>
              <w:rPr>
                <w:sz w:val="18"/>
              </w:rPr>
              <w:t xml:space="preserve"> 37,1%</w:t>
            </w:r>
          </w:p>
        </w:tc>
        <w:tc>
          <w:tcPr>
            <w:tcW w:w="0" w:type="auto"/>
            <w:tcBorders>
              <w:bottom w:val="single" w:sz="4" w:space="0" w:color="auto"/>
            </w:tcBorders>
            <w:shd w:val="clear" w:color="auto" w:fill="auto"/>
            <w:vAlign w:val="center"/>
          </w:tcPr>
          <w:p>
            <w:pPr>
              <w:jc w:val="right"/>
              <w:rPr>
                <w:sz w:val="18"/>
              </w:rPr>
            </w:pPr>
            <w:r>
              <w:rPr>
                <w:sz w:val="18"/>
              </w:rPr>
              <w:t xml:space="preserve"> 51,4%</w:t>
            </w:r>
          </w:p>
        </w:tc>
        <w:tc>
          <w:tcPr>
            <w:tcW w:w="0" w:type="auto"/>
            <w:tcBorders>
              <w:bottom w:val="single" w:sz="4" w:space="0" w:color="auto"/>
            </w:tcBorders>
            <w:shd w:val="clear" w:color="auto" w:fill="auto"/>
            <w:vAlign w:val="center"/>
          </w:tcPr>
          <w:p>
            <w:pPr>
              <w:jc w:val="right"/>
              <w:rPr>
                <w:sz w:val="18"/>
              </w:rPr>
            </w:pPr>
            <w:r>
              <w:rPr>
                <w:sz w:val="18"/>
              </w:rPr>
              <w:t xml:space="preserve">  8,6%</w:t>
            </w:r>
          </w:p>
        </w:tc>
        <w:tc>
          <w:tcPr>
            <w:tcW w:w="0" w:type="auto"/>
            <w:tcBorders>
              <w:bottom w:val="single" w:sz="4" w:space="0" w:color="auto"/>
            </w:tcBorders>
            <w:shd w:val="clear" w:color="auto" w:fill="auto"/>
            <w:vAlign w:val="center"/>
          </w:tcPr>
          <w:p>
            <w:pPr>
              <w:jc w:val="right"/>
              <w:rPr>
                <w:sz w:val="18"/>
              </w:rPr>
            </w:pPr>
            <w:r>
              <w:rPr>
                <w:sz w:val="18"/>
              </w:rPr>
              <w:t xml:space="preserve">  2,9%</w:t>
            </w:r>
          </w:p>
        </w:tc>
      </w:tr>
      <w:tr>
        <w:trPr>
          <w:trHeight w:hRule="exact" w:val="280"/>
        </w:trPr>
        <w:tc>
          <w:tcPr>
            <w:tcW w:w="0" w:type="auto"/>
            <w:tcBorders>
              <w:top w:val="single" w:sz="4" w:space="0" w:color="auto"/>
            </w:tcBorders>
            <w:shd w:val="clear" w:color="auto" w:fill="auto"/>
            <w:vAlign w:val="center"/>
          </w:tcPr>
          <w:p>
            <w:pPr>
              <w:jc w:val="right"/>
              <w:rPr>
                <w:sz w:val="18"/>
              </w:rPr>
            </w:pPr>
            <w:r>
              <w:rPr>
                <w:sz w:val="18"/>
              </w:rPr>
              <w:t>SV</w:t>
            </w:r>
          </w:p>
        </w:tc>
        <w:tc>
          <w:tcPr>
            <w:tcW w:w="0" w:type="auto"/>
            <w:tcBorders>
              <w:top w:val="single" w:sz="4" w:space="0" w:color="auto"/>
            </w:tcBorders>
            <w:shd w:val="clear" w:color="auto" w:fill="auto"/>
            <w:vAlign w:val="center"/>
          </w:tcPr>
          <w:p>
            <w:pPr>
              <w:jc w:val="right"/>
              <w:rPr>
                <w:sz w:val="18"/>
              </w:rPr>
            </w:pPr>
            <w:r>
              <w:rPr>
                <w:sz w:val="18"/>
              </w:rPr>
              <w:t>Mobility Participants</w:t>
            </w:r>
          </w:p>
        </w:tc>
        <w:tc>
          <w:tcPr>
            <w:tcW w:w="0" w:type="auto"/>
            <w:tcBorders>
              <w:top w:val="single" w:sz="4" w:space="0" w:color="auto"/>
            </w:tcBorders>
            <w:shd w:val="clear" w:color="auto" w:fill="auto"/>
            <w:vAlign w:val="center"/>
          </w:tcPr>
          <w:p>
            <w:pPr>
              <w:jc w:val="right"/>
              <w:rPr>
                <w:sz w:val="18"/>
              </w:rPr>
            </w:pPr>
            <w:r>
              <w:rPr>
                <w:sz w:val="18"/>
              </w:rPr>
              <w:t>8</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5</w:t>
            </w:r>
          </w:p>
        </w:tc>
        <w:tc>
          <w:tcPr>
            <w:tcW w:w="0" w:type="auto"/>
            <w:tcBorders>
              <w:top w:val="single" w:sz="4" w:space="0" w:color="auto"/>
            </w:tcBorders>
            <w:shd w:val="clear" w:color="auto" w:fill="auto"/>
            <w:vAlign w:val="center"/>
          </w:tcPr>
          <w:p>
            <w:pPr>
              <w:jc w:val="right"/>
              <w:rPr>
                <w:sz w:val="18"/>
              </w:rPr>
            </w:pPr>
            <w:r>
              <w:rPr>
                <w:sz w:val="18"/>
              </w:rPr>
              <w:t>3</w:t>
            </w:r>
          </w:p>
        </w:tc>
        <w:tc>
          <w:tcPr>
            <w:tcW w:w="0" w:type="auto"/>
            <w:tcBorders>
              <w:top w:val="single" w:sz="4" w:space="0" w:color="auto"/>
            </w:tcBorders>
            <w:shd w:val="clear" w:color="auto" w:fill="auto"/>
            <w:vAlign w:val="center"/>
          </w:tcPr>
          <w:p>
            <w:pPr>
              <w:jc w:val="right"/>
              <w:rPr>
                <w:sz w:val="18"/>
              </w:rPr>
            </w:pPr>
            <w:r>
              <w:rPr>
                <w:sz w:val="18"/>
              </w:rPr>
              <w:t>0</w:t>
            </w:r>
          </w:p>
        </w:tc>
        <w:tc>
          <w:tcPr>
            <w:tcW w:w="0" w:type="auto"/>
            <w:tcBorders>
              <w:top w:val="single" w:sz="4" w:space="0" w:color="auto"/>
            </w:tcBorders>
            <w:shd w:val="clear" w:color="auto" w:fill="auto"/>
            <w:vAlign w:val="center"/>
          </w:tcPr>
          <w:p>
            <w:pPr>
              <w:jc w:val="right"/>
              <w:rPr>
                <w:sz w:val="18"/>
              </w:rPr>
            </w:pPr>
            <w:r>
              <w:rPr>
                <w:sz w:val="18"/>
              </w:rPr>
              <w:t>0</w:t>
            </w:r>
          </w:p>
        </w:tc>
      </w:tr>
      <w:tr>
        <w:trPr>
          <w:trHeight w:hRule="exact" w:val="280"/>
        </w:trPr>
        <w:tc>
          <w:tcPr>
            <w:tcW w:w="0" w:type="auto"/>
            <w:shd w:val="clear" w:color="auto" w:fill="auto"/>
            <w:vAlign w:val="center"/>
          </w:tcPr>
          <w:p>
            <w:pPr>
              <w:jc w:val="right"/>
              <w:rPr>
                <w:sz w:val="18"/>
              </w:rPr>
            </w:pPr>
          </w:p>
        </w:tc>
        <w:tc>
          <w:tcPr>
            <w:tcW w:w="0" w:type="auto"/>
            <w:shd w:val="clear" w:color="auto" w:fill="auto"/>
            <w:vAlign w:val="center"/>
          </w:tcPr>
          <w:p>
            <w:pPr>
              <w:jc w:val="right"/>
              <w:rPr>
                <w:sz w:val="18"/>
              </w:rPr>
            </w:pPr>
            <w:r>
              <w:rPr>
                <w:sz w:val="18"/>
              </w:rPr>
              <w:t>%</w:t>
            </w:r>
          </w:p>
        </w:tc>
        <w:tc>
          <w:tcPr>
            <w:tcW w:w="0" w:type="auto"/>
            <w:shd w:val="clear" w:color="auto" w:fill="auto"/>
            <w:vAlign w:val="center"/>
          </w:tcPr>
          <w:p>
            <w:pPr>
              <w:jc w:val="right"/>
              <w:rPr>
                <w:sz w:val="18"/>
              </w:rPr>
            </w:pPr>
            <w:r>
              <w:rPr>
                <w:sz w:val="18"/>
              </w:rPr>
              <w:t>100,0%</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62,5%</w:t>
            </w:r>
          </w:p>
        </w:tc>
        <w:tc>
          <w:tcPr>
            <w:tcW w:w="0" w:type="auto"/>
            <w:shd w:val="clear" w:color="auto" w:fill="auto"/>
            <w:vAlign w:val="center"/>
          </w:tcPr>
          <w:p>
            <w:pPr>
              <w:jc w:val="right"/>
              <w:rPr>
                <w:sz w:val="18"/>
              </w:rPr>
            </w:pPr>
            <w:r>
              <w:rPr>
                <w:sz w:val="18"/>
              </w:rPr>
              <w:t xml:space="preserve"> 37,5%</w:t>
            </w:r>
          </w:p>
        </w:tc>
        <w:tc>
          <w:tcPr>
            <w:tcW w:w="0" w:type="auto"/>
            <w:shd w:val="clear" w:color="auto" w:fill="auto"/>
            <w:vAlign w:val="center"/>
          </w:tcPr>
          <w:p>
            <w:pPr>
              <w:jc w:val="right"/>
              <w:rPr>
                <w:sz w:val="18"/>
              </w:rPr>
            </w:pPr>
            <w:r>
              <w:rPr>
                <w:sz w:val="18"/>
              </w:rPr>
              <w:t xml:space="preserve">  0,0%</w:t>
            </w:r>
          </w:p>
        </w:tc>
        <w:tc>
          <w:tcPr>
            <w:tcW w:w="0" w:type="auto"/>
            <w:shd w:val="clear" w:color="auto" w:fill="auto"/>
            <w:vAlign w:val="center"/>
          </w:tcPr>
          <w:p>
            <w:pPr>
              <w:jc w:val="right"/>
              <w:rPr>
                <w:sz w:val="18"/>
              </w:rPr>
            </w:pPr>
            <w:r>
              <w:rPr>
                <w:sz w:val="18"/>
              </w:rPr>
              <w:t xml:space="preserve">  0,0%</w:t>
            </w:r>
          </w:p>
        </w:tc>
      </w:tr>
      <w:bookmarkEnd w:id="34"/>
    </w:tbl>
    <w:p/>
    <w:p>
      <w:pPr>
        <w:pStyle w:val="Lgende"/>
        <w:keepNext/>
      </w:pPr>
      <w:r>
        <w:lastRenderedPageBreak/>
        <w:t xml:space="preserve">Figure </w:t>
      </w:r>
      <w:fldSimple w:instr=" SEQ Figure \* ARABIC ">
        <w:r>
          <w:rPr>
            <w:noProof/>
          </w:rPr>
          <w:t>6</w:t>
        </w:r>
      </w:fldSimple>
      <w:r>
        <w:t>. Usage of the activated OLS language courses</w:t>
      </w:r>
      <w:bookmarkStart w:id="35" w:name="InlineShape7"/>
      <w:bookmarkEnd w:id="35"/>
    </w:p>
    <w:p>
      <w:r>
        <w:rPr>
          <w:noProof/>
          <w:lang w:val="fr-BE" w:eastAsia="fr-BE"/>
        </w:rPr>
        <w:drawing>
          <wp:inline distT="0" distB="0" distL="0" distR="0">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pPr>
        <w:sectPr>
          <w:type w:val="continuous"/>
          <w:pgSz w:w="11907" w:h="16839" w:code="9"/>
          <w:pgMar w:top="1440" w:right="1440" w:bottom="1440" w:left="1440" w:header="709" w:footer="709" w:gutter="0"/>
          <w:cols w:space="708"/>
          <w:docGrid w:linePitch="360"/>
        </w:sectPr>
      </w:pPr>
    </w:p>
    <w:p>
      <w:pPr>
        <w:pStyle w:val="Titre2"/>
      </w:pPr>
      <w:bookmarkStart w:id="36" w:name="subsec____Main__Language_vs_Local_Langua"/>
      <w:bookmarkStart w:id="37" w:name="_Toc476736937"/>
      <w:bookmarkEnd w:id="36"/>
      <w:r>
        <w:lastRenderedPageBreak/>
        <w:t>2. Main  Language vs Local Language</w:t>
      </w:r>
      <w:bookmarkEnd w:id="37"/>
    </w:p>
    <w:p>
      <w:pPr>
        <w:pStyle w:val="Corpsdetexte"/>
      </w:pPr>
      <w:r>
        <w:t>The next table shows the  participants' usage of the OLS language courses in the  language and the local language. Beneficiaries may invite  participants who have obtained a result between CEFR levels B2 and C2 in their first language assessment to follow a language course in their main language of instruction or work, or in the local language of the country, provided that this language is available in the OLS.</w:t>
      </w:r>
    </w:p>
    <w:p>
      <w:pPr>
        <w:pStyle w:val="Lgende"/>
        <w:keepNext/>
      </w:pPr>
      <w:r>
        <w:t xml:space="preserve">Table </w:t>
      </w:r>
      <w:fldSimple w:instr=" SEQ Table \* ARABIC ">
        <w:r>
          <w:rPr>
            <w:noProof/>
          </w:rPr>
          <w:t>9</w:t>
        </w:r>
      </w:fldSimple>
      <w:r>
        <w:t>. Usage of language courses in the  languages and local languages</w:t>
      </w:r>
    </w:p>
    <w:tbl>
      <w:tblPr>
        <w:tblW w:w="0" w:type="auto"/>
        <w:tblCellMar>
          <w:left w:w="100" w:type="dxa"/>
          <w:right w:w="100" w:type="dxa"/>
        </w:tblCellMar>
        <w:tblLook w:val="0000" w:firstRow="0" w:lastRow="0" w:firstColumn="0" w:lastColumn="0" w:noHBand="0" w:noVBand="0"/>
      </w:tblPr>
      <w:tblGrid>
        <w:gridCol w:w="1160"/>
        <w:gridCol w:w="783"/>
        <w:gridCol w:w="1978"/>
        <w:gridCol w:w="1978"/>
        <w:gridCol w:w="1460"/>
      </w:tblGrid>
      <w:tr>
        <w:tc>
          <w:tcPr>
            <w:tcW w:w="0" w:type="auto"/>
            <w:tcBorders>
              <w:bottom w:val="single" w:sz="4" w:space="0" w:color="auto"/>
              <w:right w:val="single" w:sz="4" w:space="0" w:color="auto"/>
            </w:tcBorders>
            <w:shd w:val="clear" w:color="auto" w:fill="auto"/>
            <w:vAlign w:val="center"/>
          </w:tcPr>
          <w:p>
            <w:pPr>
              <w:jc w:val="left"/>
              <w:rPr>
                <w:sz w:val="18"/>
              </w:rPr>
            </w:pPr>
            <w:bookmarkStart w:id="38" w:name="Table28"/>
          </w:p>
        </w:tc>
        <w:tc>
          <w:tcPr>
            <w:tcW w:w="0" w:type="auto"/>
            <w:tcBorders>
              <w:left w:val="single" w:sz="4" w:space="0" w:color="auto"/>
              <w:bottom w:val="single" w:sz="4" w:space="0" w:color="auto"/>
            </w:tcBorders>
            <w:shd w:val="clear" w:color="auto" w:fill="auto"/>
            <w:vAlign w:val="center"/>
          </w:tcPr>
          <w:p>
            <w:pPr>
              <w:jc w:val="right"/>
              <w:rPr>
                <w:sz w:val="18"/>
              </w:rPr>
            </w:pPr>
            <w:r>
              <w:rPr>
                <w:sz w:val="18"/>
              </w:rPr>
              <w:t>Total</w:t>
            </w:r>
            <w:r>
              <w:rPr>
                <w:sz w:val="18"/>
              </w:rPr>
              <w:br/>
              <w:t>Used LC</w:t>
            </w:r>
          </w:p>
        </w:tc>
        <w:tc>
          <w:tcPr>
            <w:tcW w:w="0" w:type="auto"/>
            <w:tcBorders>
              <w:bottom w:val="single" w:sz="4" w:space="0" w:color="auto"/>
            </w:tcBorders>
            <w:shd w:val="clear" w:color="auto" w:fill="auto"/>
            <w:vAlign w:val="center"/>
          </w:tcPr>
          <w:p>
            <w:pPr>
              <w:jc w:val="right"/>
              <w:rPr>
                <w:sz w:val="18"/>
              </w:rPr>
            </w:pPr>
            <w:r>
              <w:rPr>
                <w:sz w:val="18"/>
              </w:rPr>
              <w:t>% used LC in</w:t>
            </w:r>
            <w:r>
              <w:rPr>
                <w:sz w:val="18"/>
              </w:rPr>
              <w:br/>
              <w:t xml:space="preserve"> mobility language</w:t>
            </w:r>
            <w:r>
              <w:rPr>
                <w:sz w:val="18"/>
              </w:rPr>
              <w:br/>
              <w:t>for MPs with LA1 results</w:t>
            </w:r>
            <w:r>
              <w:rPr>
                <w:sz w:val="18"/>
              </w:rPr>
              <w:br/>
              <w:t>B1 and less</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 used LC in</w:t>
            </w:r>
            <w:r>
              <w:rPr>
                <w:sz w:val="18"/>
              </w:rPr>
              <w:br/>
              <w:t xml:space="preserve"> mobility language</w:t>
            </w:r>
            <w:r>
              <w:rPr>
                <w:sz w:val="18"/>
              </w:rPr>
              <w:br/>
              <w:t>for MPs with LA1 results</w:t>
            </w:r>
            <w:r>
              <w:rPr>
                <w:sz w:val="18"/>
              </w:rPr>
              <w:br/>
              <w:t>B2 and more</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%used LC</w:t>
            </w:r>
            <w:r>
              <w:rPr>
                <w:sz w:val="18"/>
              </w:rPr>
              <w:br/>
              <w:t xml:space="preserve"> in local language</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DE</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222</w:t>
            </w:r>
          </w:p>
        </w:tc>
        <w:tc>
          <w:tcPr>
            <w:tcW w:w="0" w:type="auto"/>
            <w:tcBorders>
              <w:top w:val="single" w:sz="4" w:space="0" w:color="auto"/>
            </w:tcBorders>
            <w:shd w:val="clear" w:color="auto" w:fill="auto"/>
            <w:vAlign w:val="center"/>
          </w:tcPr>
          <w:p>
            <w:pPr>
              <w:jc w:val="right"/>
              <w:rPr>
                <w:sz w:val="18"/>
              </w:rPr>
            </w:pPr>
            <w:r>
              <w:rPr>
                <w:sz w:val="18"/>
              </w:rPr>
              <w:t xml:space="preserve"> 61,7 %</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 xml:space="preserve"> 23,9 %</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 xml:space="preserve"> 14,4 %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EN</w:t>
            </w:r>
          </w:p>
        </w:tc>
        <w:tc>
          <w:tcPr>
            <w:tcW w:w="0" w:type="auto"/>
            <w:tcBorders>
              <w:left w:val="single" w:sz="4" w:space="0" w:color="auto"/>
            </w:tcBorders>
            <w:shd w:val="clear" w:color="auto" w:fill="auto"/>
            <w:vAlign w:val="center"/>
          </w:tcPr>
          <w:p>
            <w:pPr>
              <w:jc w:val="right"/>
              <w:rPr>
                <w:sz w:val="18"/>
              </w:rPr>
            </w:pPr>
            <w:r>
              <w:rPr>
                <w:sz w:val="18"/>
              </w:rPr>
              <w:t>1.415</w:t>
            </w:r>
          </w:p>
        </w:tc>
        <w:tc>
          <w:tcPr>
            <w:tcW w:w="0" w:type="auto"/>
            <w:shd w:val="clear" w:color="auto" w:fill="auto"/>
            <w:vAlign w:val="center"/>
          </w:tcPr>
          <w:p>
            <w:pPr>
              <w:jc w:val="right"/>
              <w:rPr>
                <w:sz w:val="18"/>
              </w:rPr>
            </w:pPr>
            <w:r>
              <w:rPr>
                <w:sz w:val="18"/>
              </w:rPr>
              <w:t xml:space="preserve"> 44,7 %</w:t>
            </w:r>
          </w:p>
        </w:tc>
        <w:tc>
          <w:tcPr>
            <w:tcW w:w="0" w:type="auto"/>
            <w:tcBorders>
              <w:right w:val="single" w:sz="4" w:space="0" w:color="auto"/>
            </w:tcBorders>
            <w:shd w:val="clear" w:color="auto" w:fill="auto"/>
            <w:vAlign w:val="center"/>
          </w:tcPr>
          <w:p>
            <w:pPr>
              <w:jc w:val="right"/>
              <w:rPr>
                <w:sz w:val="18"/>
              </w:rPr>
            </w:pPr>
            <w:r>
              <w:rPr>
                <w:sz w:val="18"/>
              </w:rPr>
              <w:t xml:space="preserve"> 55,3 %</w:t>
            </w:r>
          </w:p>
        </w:tc>
        <w:tc>
          <w:tcPr>
            <w:tcW w:w="0" w:type="auto"/>
            <w:tcBorders>
              <w:left w:val="single" w:sz="4" w:space="0" w:color="auto"/>
            </w:tcBorders>
            <w:shd w:val="clear" w:color="auto" w:fill="auto"/>
            <w:vAlign w:val="center"/>
          </w:tcPr>
          <w:p>
            <w:pPr>
              <w:jc w:val="right"/>
              <w:rPr>
                <w:sz w:val="18"/>
              </w:rPr>
            </w:pPr>
            <w:r>
              <w:rPr>
                <w:sz w:val="18"/>
              </w:rPr>
              <w:t xml:space="preserve">  0,0 %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ES</w:t>
            </w:r>
          </w:p>
        </w:tc>
        <w:tc>
          <w:tcPr>
            <w:tcW w:w="0" w:type="auto"/>
            <w:tcBorders>
              <w:left w:val="single" w:sz="4" w:space="0" w:color="auto"/>
            </w:tcBorders>
            <w:shd w:val="clear" w:color="auto" w:fill="auto"/>
            <w:vAlign w:val="center"/>
          </w:tcPr>
          <w:p>
            <w:pPr>
              <w:jc w:val="right"/>
              <w:rPr>
                <w:sz w:val="18"/>
              </w:rPr>
            </w:pPr>
            <w:r>
              <w:rPr>
                <w:sz w:val="18"/>
              </w:rPr>
              <w:t>864</w:t>
            </w:r>
          </w:p>
        </w:tc>
        <w:tc>
          <w:tcPr>
            <w:tcW w:w="0" w:type="auto"/>
            <w:shd w:val="clear" w:color="auto" w:fill="auto"/>
            <w:vAlign w:val="center"/>
          </w:tcPr>
          <w:p>
            <w:pPr>
              <w:jc w:val="right"/>
              <w:rPr>
                <w:sz w:val="18"/>
              </w:rPr>
            </w:pPr>
            <w:r>
              <w:rPr>
                <w:sz w:val="18"/>
              </w:rPr>
              <w:t xml:space="preserve"> 85,4 %</w:t>
            </w:r>
          </w:p>
        </w:tc>
        <w:tc>
          <w:tcPr>
            <w:tcW w:w="0" w:type="auto"/>
            <w:tcBorders>
              <w:right w:val="single" w:sz="4" w:space="0" w:color="auto"/>
            </w:tcBorders>
            <w:shd w:val="clear" w:color="auto" w:fill="auto"/>
            <w:vAlign w:val="center"/>
          </w:tcPr>
          <w:p>
            <w:pPr>
              <w:jc w:val="right"/>
              <w:rPr>
                <w:sz w:val="18"/>
              </w:rPr>
            </w:pPr>
            <w:r>
              <w:rPr>
                <w:sz w:val="18"/>
              </w:rPr>
              <w:t xml:space="preserve"> 14,1 %</w:t>
            </w:r>
          </w:p>
        </w:tc>
        <w:tc>
          <w:tcPr>
            <w:tcW w:w="0" w:type="auto"/>
            <w:tcBorders>
              <w:left w:val="single" w:sz="4" w:space="0" w:color="auto"/>
            </w:tcBorders>
            <w:shd w:val="clear" w:color="auto" w:fill="auto"/>
            <w:vAlign w:val="center"/>
          </w:tcPr>
          <w:p>
            <w:pPr>
              <w:jc w:val="right"/>
              <w:rPr>
                <w:sz w:val="18"/>
              </w:rPr>
            </w:pPr>
            <w:r>
              <w:rPr>
                <w:sz w:val="18"/>
              </w:rPr>
              <w:t xml:space="preserve">  0,5 %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FR</w:t>
            </w:r>
          </w:p>
        </w:tc>
        <w:tc>
          <w:tcPr>
            <w:tcW w:w="0" w:type="auto"/>
            <w:tcBorders>
              <w:left w:val="single" w:sz="4" w:space="0" w:color="auto"/>
            </w:tcBorders>
            <w:shd w:val="clear" w:color="auto" w:fill="auto"/>
            <w:vAlign w:val="center"/>
          </w:tcPr>
          <w:p>
            <w:pPr>
              <w:jc w:val="right"/>
              <w:rPr>
                <w:sz w:val="18"/>
              </w:rPr>
            </w:pPr>
            <w:r>
              <w:rPr>
                <w:sz w:val="18"/>
              </w:rPr>
              <w:t>6</w:t>
            </w:r>
          </w:p>
        </w:tc>
        <w:tc>
          <w:tcPr>
            <w:tcW w:w="0" w:type="auto"/>
            <w:shd w:val="clear" w:color="auto" w:fill="auto"/>
            <w:vAlign w:val="center"/>
          </w:tcPr>
          <w:p>
            <w:pPr>
              <w:jc w:val="right"/>
              <w:rPr>
                <w:sz w:val="18"/>
              </w:rPr>
            </w:pPr>
            <w:r>
              <w:rPr>
                <w:sz w:val="18"/>
              </w:rPr>
              <w:t xml:space="preserve"> 33,3 %</w:t>
            </w:r>
          </w:p>
        </w:tc>
        <w:tc>
          <w:tcPr>
            <w:tcW w:w="0" w:type="auto"/>
            <w:tcBorders>
              <w:right w:val="single" w:sz="4" w:space="0" w:color="auto"/>
            </w:tcBorders>
            <w:shd w:val="clear" w:color="auto" w:fill="auto"/>
            <w:vAlign w:val="center"/>
          </w:tcPr>
          <w:p>
            <w:pPr>
              <w:jc w:val="right"/>
              <w:rPr>
                <w:sz w:val="18"/>
              </w:rPr>
            </w:pPr>
            <w:r>
              <w:rPr>
                <w:sz w:val="18"/>
              </w:rPr>
              <w:t xml:space="preserve"> 66,7 %</w:t>
            </w:r>
          </w:p>
        </w:tc>
        <w:tc>
          <w:tcPr>
            <w:tcW w:w="0" w:type="auto"/>
            <w:tcBorders>
              <w:left w:val="single" w:sz="4" w:space="0" w:color="auto"/>
            </w:tcBorders>
            <w:shd w:val="clear" w:color="auto" w:fill="auto"/>
            <w:vAlign w:val="center"/>
          </w:tcPr>
          <w:p>
            <w:pPr>
              <w:jc w:val="right"/>
              <w:rPr>
                <w:sz w:val="18"/>
              </w:rPr>
            </w:pPr>
            <w:r>
              <w:rPr>
                <w:sz w:val="18"/>
              </w:rPr>
              <w:t xml:space="preserve">  0,0 %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IT</w:t>
            </w:r>
          </w:p>
        </w:tc>
        <w:tc>
          <w:tcPr>
            <w:tcW w:w="0" w:type="auto"/>
            <w:tcBorders>
              <w:left w:val="single" w:sz="4" w:space="0" w:color="auto"/>
            </w:tcBorders>
            <w:shd w:val="clear" w:color="auto" w:fill="auto"/>
            <w:vAlign w:val="center"/>
          </w:tcPr>
          <w:p>
            <w:pPr>
              <w:jc w:val="right"/>
              <w:rPr>
                <w:sz w:val="18"/>
              </w:rPr>
            </w:pPr>
            <w:r>
              <w:rPr>
                <w:sz w:val="18"/>
              </w:rPr>
              <w:t>311</w:t>
            </w:r>
          </w:p>
        </w:tc>
        <w:tc>
          <w:tcPr>
            <w:tcW w:w="0" w:type="auto"/>
            <w:shd w:val="clear" w:color="auto" w:fill="auto"/>
            <w:vAlign w:val="center"/>
          </w:tcPr>
          <w:p>
            <w:pPr>
              <w:jc w:val="right"/>
              <w:rPr>
                <w:sz w:val="18"/>
              </w:rPr>
            </w:pPr>
            <w:r>
              <w:rPr>
                <w:sz w:val="18"/>
              </w:rPr>
              <w:t xml:space="preserve"> 72,7 %</w:t>
            </w:r>
          </w:p>
        </w:tc>
        <w:tc>
          <w:tcPr>
            <w:tcW w:w="0" w:type="auto"/>
            <w:tcBorders>
              <w:right w:val="single" w:sz="4" w:space="0" w:color="auto"/>
            </w:tcBorders>
            <w:shd w:val="clear" w:color="auto" w:fill="auto"/>
            <w:vAlign w:val="center"/>
          </w:tcPr>
          <w:p>
            <w:pPr>
              <w:jc w:val="right"/>
              <w:rPr>
                <w:sz w:val="18"/>
              </w:rPr>
            </w:pPr>
            <w:r>
              <w:rPr>
                <w:sz w:val="18"/>
              </w:rPr>
              <w:t xml:space="preserve"> 22,2 %</w:t>
            </w:r>
          </w:p>
        </w:tc>
        <w:tc>
          <w:tcPr>
            <w:tcW w:w="0" w:type="auto"/>
            <w:tcBorders>
              <w:left w:val="single" w:sz="4" w:space="0" w:color="auto"/>
            </w:tcBorders>
            <w:shd w:val="clear" w:color="auto" w:fill="auto"/>
            <w:vAlign w:val="center"/>
          </w:tcPr>
          <w:p>
            <w:pPr>
              <w:jc w:val="right"/>
              <w:rPr>
                <w:sz w:val="18"/>
              </w:rPr>
            </w:pPr>
            <w:r>
              <w:rPr>
                <w:sz w:val="18"/>
              </w:rPr>
              <w:t xml:space="preserve">  5,1 %</w:t>
            </w:r>
          </w:p>
        </w:tc>
      </w:tr>
      <w:tr>
        <w:trPr>
          <w:trHeight w:hRule="exact" w:val="280"/>
        </w:trPr>
        <w:tc>
          <w:tcPr>
            <w:tcW w:w="0" w:type="auto"/>
            <w:tcBorders>
              <w:bottom w:val="single" w:sz="4" w:space="0" w:color="auto"/>
              <w:right w:val="single" w:sz="4" w:space="0" w:color="auto"/>
            </w:tcBorders>
            <w:shd w:val="clear" w:color="auto" w:fill="auto"/>
            <w:vAlign w:val="center"/>
          </w:tcPr>
          <w:p>
            <w:pPr>
              <w:jc w:val="left"/>
              <w:rPr>
                <w:sz w:val="18"/>
              </w:rPr>
            </w:pPr>
            <w:r>
              <w:rPr>
                <w:sz w:val="18"/>
              </w:rPr>
              <w:t>NL</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70</w:t>
            </w:r>
          </w:p>
        </w:tc>
        <w:tc>
          <w:tcPr>
            <w:tcW w:w="0" w:type="auto"/>
            <w:tcBorders>
              <w:bottom w:val="single" w:sz="4" w:space="0" w:color="auto"/>
            </w:tcBorders>
            <w:shd w:val="clear" w:color="auto" w:fill="auto"/>
            <w:vAlign w:val="center"/>
          </w:tcPr>
          <w:p>
            <w:pPr>
              <w:jc w:val="right"/>
              <w:rPr>
                <w:sz w:val="18"/>
              </w:rPr>
            </w:pPr>
            <w:r>
              <w:rPr>
                <w:sz w:val="18"/>
              </w:rPr>
              <w:t xml:space="preserve"> 41,4 %</w:t>
            </w:r>
          </w:p>
        </w:tc>
        <w:tc>
          <w:tcPr>
            <w:tcW w:w="0" w:type="auto"/>
            <w:tcBorders>
              <w:bottom w:val="single" w:sz="4" w:space="0" w:color="auto"/>
              <w:right w:val="single" w:sz="4" w:space="0" w:color="auto"/>
            </w:tcBorders>
            <w:shd w:val="clear" w:color="auto" w:fill="auto"/>
            <w:vAlign w:val="center"/>
          </w:tcPr>
          <w:p>
            <w:pPr>
              <w:jc w:val="right"/>
              <w:rPr>
                <w:sz w:val="18"/>
              </w:rPr>
            </w:pPr>
            <w:r>
              <w:rPr>
                <w:sz w:val="18"/>
              </w:rPr>
              <w:t xml:space="preserve"> 41,4 %</w:t>
            </w:r>
          </w:p>
        </w:tc>
        <w:tc>
          <w:tcPr>
            <w:tcW w:w="0" w:type="auto"/>
            <w:tcBorders>
              <w:left w:val="single" w:sz="4" w:space="0" w:color="auto"/>
              <w:bottom w:val="single" w:sz="4" w:space="0" w:color="auto"/>
            </w:tcBorders>
            <w:shd w:val="clear" w:color="auto" w:fill="auto"/>
            <w:vAlign w:val="center"/>
          </w:tcPr>
          <w:p>
            <w:pPr>
              <w:jc w:val="right"/>
              <w:rPr>
                <w:sz w:val="18"/>
              </w:rPr>
            </w:pPr>
            <w:r>
              <w:rPr>
                <w:sz w:val="18"/>
              </w:rPr>
              <w:t xml:space="preserve"> 17,1 %</w:t>
            </w:r>
          </w:p>
        </w:tc>
      </w:tr>
      <w:tr>
        <w:trPr>
          <w:trHeight w:hRule="exact" w:val="280"/>
        </w:trPr>
        <w:tc>
          <w:tcPr>
            <w:tcW w:w="0" w:type="auto"/>
            <w:tcBorders>
              <w:top w:val="single" w:sz="4" w:space="0" w:color="auto"/>
              <w:right w:val="single" w:sz="4" w:space="0" w:color="auto"/>
            </w:tcBorders>
            <w:shd w:val="clear" w:color="auto" w:fill="auto"/>
            <w:vAlign w:val="center"/>
          </w:tcPr>
          <w:p>
            <w:pPr>
              <w:jc w:val="left"/>
              <w:rPr>
                <w:sz w:val="18"/>
              </w:rPr>
            </w:pPr>
            <w:r>
              <w:rPr>
                <w:sz w:val="18"/>
              </w:rPr>
              <w:t>CS</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3</w:t>
            </w:r>
          </w:p>
        </w:tc>
        <w:tc>
          <w:tcPr>
            <w:tcW w:w="0" w:type="auto"/>
            <w:tcBorders>
              <w:top w:val="single" w:sz="4" w:space="0" w:color="auto"/>
            </w:tcBorders>
            <w:shd w:val="clear" w:color="auto" w:fill="auto"/>
            <w:vAlign w:val="center"/>
          </w:tcPr>
          <w:p>
            <w:pPr>
              <w:jc w:val="right"/>
              <w:rPr>
                <w:sz w:val="18"/>
              </w:rPr>
            </w:pPr>
            <w:r>
              <w:rPr>
                <w:sz w:val="18"/>
              </w:rPr>
              <w:t xml:space="preserve">  0,0 %</w:t>
            </w:r>
          </w:p>
        </w:tc>
        <w:tc>
          <w:tcPr>
            <w:tcW w:w="0" w:type="auto"/>
            <w:tcBorders>
              <w:top w:val="single" w:sz="4" w:space="0" w:color="auto"/>
              <w:right w:val="single" w:sz="4" w:space="0" w:color="auto"/>
            </w:tcBorders>
            <w:shd w:val="clear" w:color="auto" w:fill="auto"/>
            <w:vAlign w:val="center"/>
          </w:tcPr>
          <w:p>
            <w:pPr>
              <w:jc w:val="right"/>
              <w:rPr>
                <w:sz w:val="18"/>
              </w:rPr>
            </w:pPr>
            <w:r>
              <w:rPr>
                <w:sz w:val="18"/>
              </w:rPr>
              <w:t xml:space="preserve">  0,0 %</w:t>
            </w:r>
          </w:p>
        </w:tc>
        <w:tc>
          <w:tcPr>
            <w:tcW w:w="0" w:type="auto"/>
            <w:tcBorders>
              <w:top w:val="single" w:sz="4" w:space="0" w:color="auto"/>
              <w:left w:val="single" w:sz="4" w:space="0" w:color="auto"/>
            </w:tcBorders>
            <w:shd w:val="clear" w:color="auto" w:fill="auto"/>
            <w:vAlign w:val="center"/>
          </w:tcPr>
          <w:p>
            <w:pPr>
              <w:jc w:val="right"/>
              <w:rPr>
                <w:sz w:val="18"/>
              </w:rPr>
            </w:pPr>
            <w:r>
              <w:rPr>
                <w:sz w:val="18"/>
              </w:rPr>
              <w:t>100,0 %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DA</w:t>
            </w:r>
          </w:p>
        </w:tc>
        <w:tc>
          <w:tcPr>
            <w:tcW w:w="0" w:type="auto"/>
            <w:tcBorders>
              <w:left w:val="single" w:sz="4" w:space="0" w:color="auto"/>
            </w:tcBorders>
            <w:shd w:val="clear" w:color="auto" w:fill="auto"/>
            <w:vAlign w:val="center"/>
          </w:tcPr>
          <w:p>
            <w:pPr>
              <w:jc w:val="right"/>
              <w:rPr>
                <w:sz w:val="18"/>
              </w:rPr>
            </w:pPr>
            <w:r>
              <w:rPr>
                <w:sz w:val="18"/>
              </w:rPr>
              <w:t>3</w:t>
            </w:r>
          </w:p>
        </w:tc>
        <w:tc>
          <w:tcPr>
            <w:tcW w:w="0" w:type="auto"/>
            <w:shd w:val="clear" w:color="auto" w:fill="auto"/>
            <w:vAlign w:val="center"/>
          </w:tcPr>
          <w:p>
            <w:pPr>
              <w:jc w:val="right"/>
              <w:rPr>
                <w:sz w:val="18"/>
              </w:rPr>
            </w:pPr>
            <w:r>
              <w:rPr>
                <w:sz w:val="18"/>
              </w:rPr>
              <w:t xml:space="preserve"> 33,3 %</w:t>
            </w:r>
          </w:p>
        </w:tc>
        <w:tc>
          <w:tcPr>
            <w:tcW w:w="0" w:type="auto"/>
            <w:tcBorders>
              <w:right w:val="single" w:sz="4" w:space="0" w:color="auto"/>
            </w:tcBorders>
            <w:shd w:val="clear" w:color="auto" w:fill="auto"/>
            <w:vAlign w:val="center"/>
          </w:tcPr>
          <w:p>
            <w:pPr>
              <w:jc w:val="right"/>
              <w:rPr>
                <w:sz w:val="18"/>
              </w:rPr>
            </w:pPr>
            <w:r>
              <w:rPr>
                <w:sz w:val="18"/>
              </w:rPr>
              <w:t xml:space="preserve">  0,0 %</w:t>
            </w:r>
          </w:p>
        </w:tc>
        <w:tc>
          <w:tcPr>
            <w:tcW w:w="0" w:type="auto"/>
            <w:tcBorders>
              <w:left w:val="single" w:sz="4" w:space="0" w:color="auto"/>
            </w:tcBorders>
            <w:shd w:val="clear" w:color="auto" w:fill="auto"/>
            <w:vAlign w:val="center"/>
          </w:tcPr>
          <w:p>
            <w:pPr>
              <w:jc w:val="right"/>
              <w:rPr>
                <w:sz w:val="18"/>
              </w:rPr>
            </w:pPr>
            <w:r>
              <w:rPr>
                <w:sz w:val="18"/>
              </w:rPr>
              <w:t xml:space="preserve"> 66,7 %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EL</w:t>
            </w:r>
          </w:p>
        </w:tc>
        <w:tc>
          <w:tcPr>
            <w:tcW w:w="0" w:type="auto"/>
            <w:tcBorders>
              <w:left w:val="single" w:sz="4" w:space="0" w:color="auto"/>
            </w:tcBorders>
            <w:shd w:val="clear" w:color="auto" w:fill="auto"/>
            <w:vAlign w:val="center"/>
          </w:tcPr>
          <w:p>
            <w:pPr>
              <w:jc w:val="right"/>
              <w:rPr>
                <w:sz w:val="18"/>
              </w:rPr>
            </w:pPr>
            <w:r>
              <w:rPr>
                <w:sz w:val="18"/>
              </w:rPr>
              <w:t>1</w:t>
            </w:r>
          </w:p>
        </w:tc>
        <w:tc>
          <w:tcPr>
            <w:tcW w:w="0" w:type="auto"/>
            <w:shd w:val="clear" w:color="auto" w:fill="auto"/>
            <w:vAlign w:val="center"/>
          </w:tcPr>
          <w:p>
            <w:pPr>
              <w:jc w:val="right"/>
              <w:rPr>
                <w:sz w:val="18"/>
              </w:rPr>
            </w:pPr>
            <w:r>
              <w:rPr>
                <w:sz w:val="18"/>
              </w:rPr>
              <w:t>100,0 %</w:t>
            </w:r>
          </w:p>
        </w:tc>
        <w:tc>
          <w:tcPr>
            <w:tcW w:w="0" w:type="auto"/>
            <w:tcBorders>
              <w:right w:val="single" w:sz="4" w:space="0" w:color="auto"/>
            </w:tcBorders>
            <w:shd w:val="clear" w:color="auto" w:fill="auto"/>
            <w:vAlign w:val="center"/>
          </w:tcPr>
          <w:p>
            <w:pPr>
              <w:jc w:val="right"/>
              <w:rPr>
                <w:sz w:val="18"/>
              </w:rPr>
            </w:pPr>
            <w:r>
              <w:rPr>
                <w:sz w:val="18"/>
              </w:rPr>
              <w:t xml:space="preserve">  0,0 %</w:t>
            </w:r>
          </w:p>
        </w:tc>
        <w:tc>
          <w:tcPr>
            <w:tcW w:w="0" w:type="auto"/>
            <w:tcBorders>
              <w:left w:val="single" w:sz="4" w:space="0" w:color="auto"/>
            </w:tcBorders>
            <w:shd w:val="clear" w:color="auto" w:fill="auto"/>
            <w:vAlign w:val="center"/>
          </w:tcPr>
          <w:p>
            <w:pPr>
              <w:jc w:val="right"/>
              <w:rPr>
                <w:sz w:val="18"/>
              </w:rPr>
            </w:pPr>
            <w:r>
              <w:rPr>
                <w:sz w:val="18"/>
              </w:rPr>
              <w:t xml:space="preserve">  0,0 %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PL</w:t>
            </w:r>
          </w:p>
        </w:tc>
        <w:tc>
          <w:tcPr>
            <w:tcW w:w="0" w:type="auto"/>
            <w:tcBorders>
              <w:left w:val="single" w:sz="4" w:space="0" w:color="auto"/>
            </w:tcBorders>
            <w:shd w:val="clear" w:color="auto" w:fill="auto"/>
            <w:vAlign w:val="center"/>
          </w:tcPr>
          <w:p>
            <w:pPr>
              <w:jc w:val="right"/>
              <w:rPr>
                <w:sz w:val="18"/>
              </w:rPr>
            </w:pPr>
            <w:r>
              <w:rPr>
                <w:sz w:val="18"/>
              </w:rPr>
              <w:t>2</w:t>
            </w:r>
          </w:p>
        </w:tc>
        <w:tc>
          <w:tcPr>
            <w:tcW w:w="0" w:type="auto"/>
            <w:shd w:val="clear" w:color="auto" w:fill="auto"/>
            <w:vAlign w:val="center"/>
          </w:tcPr>
          <w:p>
            <w:pPr>
              <w:jc w:val="right"/>
              <w:rPr>
                <w:sz w:val="18"/>
              </w:rPr>
            </w:pPr>
            <w:r>
              <w:rPr>
                <w:sz w:val="18"/>
              </w:rPr>
              <w:t xml:space="preserve"> 50,0 %</w:t>
            </w:r>
          </w:p>
        </w:tc>
        <w:tc>
          <w:tcPr>
            <w:tcW w:w="0" w:type="auto"/>
            <w:tcBorders>
              <w:right w:val="single" w:sz="4" w:space="0" w:color="auto"/>
            </w:tcBorders>
            <w:shd w:val="clear" w:color="auto" w:fill="auto"/>
            <w:vAlign w:val="center"/>
          </w:tcPr>
          <w:p>
            <w:pPr>
              <w:jc w:val="right"/>
              <w:rPr>
                <w:sz w:val="18"/>
              </w:rPr>
            </w:pPr>
            <w:r>
              <w:rPr>
                <w:sz w:val="18"/>
              </w:rPr>
              <w:t xml:space="preserve">  0,0 %</w:t>
            </w:r>
          </w:p>
        </w:tc>
        <w:tc>
          <w:tcPr>
            <w:tcW w:w="0" w:type="auto"/>
            <w:tcBorders>
              <w:left w:val="single" w:sz="4" w:space="0" w:color="auto"/>
            </w:tcBorders>
            <w:shd w:val="clear" w:color="auto" w:fill="auto"/>
            <w:vAlign w:val="center"/>
          </w:tcPr>
          <w:p>
            <w:pPr>
              <w:jc w:val="right"/>
              <w:rPr>
                <w:sz w:val="18"/>
              </w:rPr>
            </w:pPr>
            <w:r>
              <w:rPr>
                <w:sz w:val="18"/>
              </w:rPr>
              <w:t xml:space="preserve"> 50,0 %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PT</w:t>
            </w:r>
          </w:p>
        </w:tc>
        <w:tc>
          <w:tcPr>
            <w:tcW w:w="0" w:type="auto"/>
            <w:tcBorders>
              <w:left w:val="single" w:sz="4" w:space="0" w:color="auto"/>
            </w:tcBorders>
            <w:shd w:val="clear" w:color="auto" w:fill="auto"/>
            <w:vAlign w:val="center"/>
          </w:tcPr>
          <w:p>
            <w:pPr>
              <w:jc w:val="right"/>
              <w:rPr>
                <w:sz w:val="18"/>
              </w:rPr>
            </w:pPr>
            <w:r>
              <w:rPr>
                <w:sz w:val="18"/>
              </w:rPr>
              <w:t>35</w:t>
            </w:r>
          </w:p>
        </w:tc>
        <w:tc>
          <w:tcPr>
            <w:tcW w:w="0" w:type="auto"/>
            <w:shd w:val="clear" w:color="auto" w:fill="auto"/>
            <w:vAlign w:val="center"/>
          </w:tcPr>
          <w:p>
            <w:pPr>
              <w:jc w:val="right"/>
              <w:rPr>
                <w:sz w:val="18"/>
              </w:rPr>
            </w:pPr>
            <w:r>
              <w:rPr>
                <w:sz w:val="18"/>
              </w:rPr>
              <w:t xml:space="preserve"> 62,9 %</w:t>
            </w:r>
          </w:p>
        </w:tc>
        <w:tc>
          <w:tcPr>
            <w:tcW w:w="0" w:type="auto"/>
            <w:tcBorders>
              <w:right w:val="single" w:sz="4" w:space="0" w:color="auto"/>
            </w:tcBorders>
            <w:shd w:val="clear" w:color="auto" w:fill="auto"/>
            <w:vAlign w:val="center"/>
          </w:tcPr>
          <w:p>
            <w:pPr>
              <w:jc w:val="right"/>
              <w:rPr>
                <w:sz w:val="18"/>
              </w:rPr>
            </w:pPr>
            <w:r>
              <w:rPr>
                <w:sz w:val="18"/>
              </w:rPr>
              <w:t xml:space="preserve">  2,9 %</w:t>
            </w:r>
          </w:p>
        </w:tc>
        <w:tc>
          <w:tcPr>
            <w:tcW w:w="0" w:type="auto"/>
            <w:tcBorders>
              <w:left w:val="single" w:sz="4" w:space="0" w:color="auto"/>
            </w:tcBorders>
            <w:shd w:val="clear" w:color="auto" w:fill="auto"/>
            <w:vAlign w:val="center"/>
          </w:tcPr>
          <w:p>
            <w:pPr>
              <w:jc w:val="right"/>
              <w:rPr>
                <w:sz w:val="18"/>
              </w:rPr>
            </w:pPr>
            <w:r>
              <w:rPr>
                <w:sz w:val="18"/>
              </w:rPr>
              <w:t xml:space="preserve"> 34,3 %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SV</w:t>
            </w:r>
          </w:p>
        </w:tc>
        <w:tc>
          <w:tcPr>
            <w:tcW w:w="0" w:type="auto"/>
            <w:tcBorders>
              <w:left w:val="single" w:sz="4" w:space="0" w:color="auto"/>
            </w:tcBorders>
            <w:shd w:val="clear" w:color="auto" w:fill="auto"/>
            <w:vAlign w:val="center"/>
          </w:tcPr>
          <w:p>
            <w:pPr>
              <w:jc w:val="right"/>
              <w:rPr>
                <w:sz w:val="18"/>
              </w:rPr>
            </w:pPr>
            <w:r>
              <w:rPr>
                <w:sz w:val="18"/>
              </w:rPr>
              <w:t>8</w:t>
            </w:r>
          </w:p>
        </w:tc>
        <w:tc>
          <w:tcPr>
            <w:tcW w:w="0" w:type="auto"/>
            <w:shd w:val="clear" w:color="auto" w:fill="auto"/>
            <w:vAlign w:val="center"/>
          </w:tcPr>
          <w:p>
            <w:pPr>
              <w:jc w:val="right"/>
              <w:rPr>
                <w:sz w:val="18"/>
              </w:rPr>
            </w:pPr>
            <w:r>
              <w:rPr>
                <w:sz w:val="18"/>
              </w:rPr>
              <w:t xml:space="preserve">  0,0 %</w:t>
            </w:r>
          </w:p>
        </w:tc>
        <w:tc>
          <w:tcPr>
            <w:tcW w:w="0" w:type="auto"/>
            <w:tcBorders>
              <w:right w:val="single" w:sz="4" w:space="0" w:color="auto"/>
            </w:tcBorders>
            <w:shd w:val="clear" w:color="auto" w:fill="auto"/>
            <w:vAlign w:val="center"/>
          </w:tcPr>
          <w:p>
            <w:pPr>
              <w:jc w:val="right"/>
              <w:rPr>
                <w:sz w:val="18"/>
              </w:rPr>
            </w:pPr>
            <w:r>
              <w:rPr>
                <w:sz w:val="18"/>
              </w:rPr>
              <w:t xml:space="preserve">  0,0 %</w:t>
            </w:r>
          </w:p>
        </w:tc>
        <w:tc>
          <w:tcPr>
            <w:tcW w:w="0" w:type="auto"/>
            <w:tcBorders>
              <w:left w:val="single" w:sz="4" w:space="0" w:color="auto"/>
            </w:tcBorders>
            <w:shd w:val="clear" w:color="auto" w:fill="auto"/>
            <w:vAlign w:val="center"/>
          </w:tcPr>
          <w:p>
            <w:pPr>
              <w:jc w:val="right"/>
              <w:rPr>
                <w:sz w:val="18"/>
              </w:rPr>
            </w:pPr>
            <w:r>
              <w:rPr>
                <w:sz w:val="18"/>
              </w:rPr>
              <w:t>100,0 %</w:t>
            </w:r>
          </w:p>
        </w:tc>
      </w:tr>
      <w:tr>
        <w:trPr>
          <w:trHeight w:hRule="exact" w:val="280"/>
        </w:trPr>
        <w:tc>
          <w:tcPr>
            <w:tcW w:w="0" w:type="auto"/>
            <w:tcBorders>
              <w:right w:val="single" w:sz="4" w:space="0" w:color="auto"/>
            </w:tcBorders>
            <w:shd w:val="clear" w:color="auto" w:fill="auto"/>
            <w:vAlign w:val="center"/>
          </w:tcPr>
          <w:p>
            <w:pPr>
              <w:jc w:val="left"/>
              <w:rPr>
                <w:sz w:val="18"/>
              </w:rPr>
            </w:pPr>
            <w:r>
              <w:rPr>
                <w:sz w:val="18"/>
              </w:rPr>
              <w:t>All languages</w:t>
            </w:r>
          </w:p>
        </w:tc>
        <w:tc>
          <w:tcPr>
            <w:tcW w:w="0" w:type="auto"/>
            <w:tcBorders>
              <w:left w:val="single" w:sz="4" w:space="0" w:color="auto"/>
            </w:tcBorders>
            <w:shd w:val="clear" w:color="auto" w:fill="auto"/>
            <w:vAlign w:val="center"/>
          </w:tcPr>
          <w:p>
            <w:pPr>
              <w:jc w:val="right"/>
              <w:rPr>
                <w:sz w:val="18"/>
              </w:rPr>
            </w:pPr>
            <w:r>
              <w:rPr>
                <w:sz w:val="18"/>
              </w:rPr>
              <w:t>2.940</w:t>
            </w:r>
          </w:p>
        </w:tc>
        <w:tc>
          <w:tcPr>
            <w:tcW w:w="0" w:type="auto"/>
            <w:shd w:val="clear" w:color="auto" w:fill="auto"/>
            <w:vAlign w:val="center"/>
          </w:tcPr>
          <w:p>
            <w:pPr>
              <w:jc w:val="right"/>
              <w:rPr>
                <w:sz w:val="18"/>
              </w:rPr>
            </w:pPr>
            <w:r>
              <w:rPr>
                <w:sz w:val="18"/>
              </w:rPr>
              <w:t xml:space="preserve"> 60,9 %</w:t>
            </w:r>
          </w:p>
        </w:tc>
        <w:tc>
          <w:tcPr>
            <w:tcW w:w="0" w:type="auto"/>
            <w:tcBorders>
              <w:right w:val="single" w:sz="4" w:space="0" w:color="auto"/>
            </w:tcBorders>
            <w:shd w:val="clear" w:color="auto" w:fill="auto"/>
            <w:vAlign w:val="center"/>
          </w:tcPr>
          <w:p>
            <w:pPr>
              <w:jc w:val="right"/>
              <w:rPr>
                <w:sz w:val="18"/>
              </w:rPr>
            </w:pPr>
            <w:r>
              <w:rPr>
                <w:sz w:val="18"/>
              </w:rPr>
              <w:t xml:space="preserve"> 36,1 %</w:t>
            </w:r>
          </w:p>
        </w:tc>
        <w:tc>
          <w:tcPr>
            <w:tcW w:w="0" w:type="auto"/>
            <w:tcBorders>
              <w:left w:val="single" w:sz="4" w:space="0" w:color="auto"/>
            </w:tcBorders>
            <w:shd w:val="clear" w:color="auto" w:fill="auto"/>
            <w:vAlign w:val="center"/>
          </w:tcPr>
          <w:p>
            <w:pPr>
              <w:jc w:val="right"/>
              <w:rPr>
                <w:sz w:val="18"/>
              </w:rPr>
            </w:pPr>
            <w:r>
              <w:rPr>
                <w:sz w:val="18"/>
              </w:rPr>
              <w:t xml:space="preserve">  3,1 %</w:t>
            </w:r>
          </w:p>
        </w:tc>
      </w:tr>
      <w:bookmarkEnd w:id="38"/>
    </w:tbl>
    <w:p/>
    <w:p>
      <w:pPr>
        <w:sectPr>
          <w:pgSz w:w="11907" w:h="16839" w:code="9"/>
          <w:pgMar w:top="1440" w:right="1440" w:bottom="1440" w:left="1440" w:header="709" w:footer="709" w:gutter="0"/>
          <w:cols w:space="708"/>
          <w:docGrid w:linePitch="360"/>
        </w:sectPr>
      </w:pPr>
    </w:p>
    <w:p>
      <w:pPr>
        <w:pStyle w:val="Titre1"/>
      </w:pPr>
      <w:bookmarkStart w:id="39" w:name="sec_IV__Erasmus__OLS_Dashboard"/>
      <w:bookmarkStart w:id="40" w:name="_Toc476736938"/>
      <w:bookmarkEnd w:id="39"/>
      <w:r>
        <w:lastRenderedPageBreak/>
        <w:t>IV. Erasmus+ OLS Dashboard</w:t>
      </w:r>
      <w:bookmarkEnd w:id="40"/>
    </w:p>
    <w:p>
      <w:pPr>
        <w:sectPr>
          <w:pgSz w:w="16839" w:h="11907" w:orient="landscape" w:code="9"/>
          <w:pgMar w:top="720" w:right="720" w:bottom="720" w:left="720" w:header="709" w:footer="709" w:gutter="0"/>
          <w:cols w:space="708"/>
          <w:docGrid w:linePitch="360"/>
        </w:sectPr>
      </w:pPr>
      <w:bookmarkStart w:id="41" w:name="InlineShape8"/>
      <w:bookmarkStart w:id="42" w:name="InlineShape9"/>
      <w:bookmarkStart w:id="43" w:name="InlineShape10"/>
      <w:bookmarkStart w:id="44" w:name="InlineShape11"/>
      <w:r>
        <w:rPr>
          <w:noProof/>
          <w:lang w:val="fr-BE" w:eastAsia="fr-BE"/>
        </w:rPr>
        <w:drawing>
          <wp:inline distT="0" distB="0" distL="0" distR="0">
            <wp:extent cx="50292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bookmarkEnd w:id="41"/>
      <w:r>
        <w:rPr>
          <w:noProof/>
          <w:lang w:val="fr-BE" w:eastAsia="fr-BE"/>
        </w:rPr>
        <w:drawing>
          <wp:inline distT="0" distB="0" distL="0" distR="0">
            <wp:extent cx="36576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bookmarkEnd w:id="42"/>
      <w:r>
        <w:rPr>
          <w:noProof/>
          <w:lang w:val="fr-BE" w:eastAsia="fr-BE"/>
        </w:rPr>
        <w:drawing>
          <wp:inline distT="0" distB="0" distL="0" distR="0">
            <wp:extent cx="50292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bookmarkEnd w:id="43"/>
      <w:r>
        <w:rPr>
          <w:noProof/>
          <w:lang w:val="fr-BE" w:eastAsia="fr-BE"/>
        </w:rPr>
        <w:drawing>
          <wp:inline distT="0" distB="0" distL="0" distR="0">
            <wp:extent cx="365760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bookmarkEnd w:id="44"/>
    </w:p>
    <w:p>
      <w:pPr>
        <w:pStyle w:val="Titre1"/>
      </w:pPr>
      <w:bookmarkStart w:id="45" w:name="sec_V__Glossary_of_Specific_Terminology_"/>
      <w:bookmarkStart w:id="46" w:name="_Toc476736939"/>
      <w:bookmarkEnd w:id="45"/>
      <w:r>
        <w:lastRenderedPageBreak/>
        <w:t>V. Glossary of Specific Terminology Used in this Statistical Report</w:t>
      </w:r>
      <w:bookmarkEnd w:id="46"/>
    </w:p>
    <w:p>
      <w:r>
        <w:rPr>
          <w:b/>
        </w:rPr>
        <w:t>Used OLS language assessment:</w:t>
      </w:r>
      <w:r>
        <w:t xml:space="preserve"> one OLS assessment is considered used once assessment 1 has been started (trigger: access to first question of the assessment).</w:t>
      </w:r>
    </w:p>
    <w:p>
      <w:r>
        <w:rPr>
          <w:b/>
        </w:rPr>
        <w:t>Used OLS language course:</w:t>
      </w:r>
      <w:r>
        <w:t xml:space="preserve"> one OLS course is considered used from the first access to the language course (trigger: 1st compatibility check of the course).</w:t>
      </w:r>
    </w:p>
    <w:p>
      <w:r>
        <w:rPr>
          <w:b/>
        </w:rPr>
        <w:t>Completed language assessments (Comp LA):</w:t>
      </w:r>
      <w:r>
        <w:t xml:space="preserve"> refers to completed language assessments for which a result is available to participants and Beneficiaries.</w:t>
      </w:r>
    </w:p>
    <w:p>
      <w:r>
        <w:rPr>
          <w:b/>
        </w:rPr>
        <w:t>Activated language courses (Act LC):</w:t>
      </w:r>
      <w:r>
        <w:t xml:space="preserve"> refers to language courses for which some activity has been recorded on the OLS course platform.</w:t>
      </w:r>
    </w:p>
    <w:p>
      <w:pPr>
        <w:sectPr>
          <w:pgSz w:w="11907" w:h="16839" w:code="9"/>
          <w:pgMar w:top="1440" w:right="1440" w:bottom="1440" w:left="1440" w:header="709" w:footer="709" w:gutter="0"/>
          <w:cols w:space="708"/>
          <w:docGrid w:linePitch="360"/>
        </w:sectPr>
      </w:pPr>
    </w:p>
    <w:p>
      <w:pPr>
        <w:pStyle w:val="Titre1"/>
      </w:pPr>
      <w:bookmarkStart w:id="47" w:name="sec_VI__Abbreviations_Used_in_the_Framew"/>
      <w:bookmarkStart w:id="48" w:name="_Toc476736940"/>
      <w:bookmarkEnd w:id="47"/>
      <w:r>
        <w:t>VI. Abbreviations Used in the Framework of the Erasmus+ OLS</w:t>
      </w:r>
      <w:bookmarkEnd w:id="48"/>
    </w:p>
    <w:tbl>
      <w:tblPr>
        <w:tblW w:w="0" w:type="auto"/>
        <w:tblCellMar>
          <w:left w:w="100" w:type="dxa"/>
          <w:right w:w="100" w:type="dxa"/>
        </w:tblCellMar>
        <w:tblLook w:val="0000" w:firstRow="0" w:lastRow="0" w:firstColumn="0" w:lastColumn="0" w:noHBand="0" w:noVBand="0"/>
      </w:tblPr>
      <w:tblGrid>
        <w:gridCol w:w="858"/>
        <w:gridCol w:w="6932"/>
      </w:tblGrid>
      <w:tr>
        <w:tc>
          <w:tcPr>
            <w:tcW w:w="0" w:type="auto"/>
            <w:tcBorders>
              <w:bottom w:val="single" w:sz="4" w:space="0" w:color="auto"/>
            </w:tcBorders>
            <w:shd w:val="clear" w:color="auto" w:fill="auto"/>
            <w:vAlign w:val="center"/>
          </w:tcPr>
          <w:p>
            <w:pPr>
              <w:jc w:val="left"/>
              <w:rPr>
                <w:sz w:val="18"/>
              </w:rPr>
            </w:pPr>
            <w:bookmarkStart w:id="49" w:name="Table36"/>
            <w:r>
              <w:rPr>
                <w:sz w:val="18"/>
              </w:rPr>
              <w:t>Acronym</w:t>
            </w:r>
          </w:p>
        </w:tc>
        <w:tc>
          <w:tcPr>
            <w:tcW w:w="0" w:type="auto"/>
            <w:tcBorders>
              <w:bottom w:val="single" w:sz="4" w:space="0" w:color="auto"/>
            </w:tcBorders>
            <w:shd w:val="clear" w:color="auto" w:fill="auto"/>
            <w:vAlign w:val="center"/>
          </w:tcPr>
          <w:p>
            <w:pPr>
              <w:jc w:val="left"/>
              <w:rPr>
                <w:sz w:val="18"/>
              </w:rPr>
            </w:pPr>
            <w:r>
              <w:rPr>
                <w:sz w:val="18"/>
              </w:rPr>
              <w:t>Phrase</w:t>
            </w:r>
          </w:p>
        </w:tc>
      </w:tr>
      <w:tr>
        <w:trPr>
          <w:trHeight w:hRule="exact" w:val="280"/>
        </w:trPr>
        <w:tc>
          <w:tcPr>
            <w:tcW w:w="0" w:type="auto"/>
            <w:tcBorders>
              <w:top w:val="single" w:sz="4" w:space="0" w:color="auto"/>
            </w:tcBorders>
            <w:shd w:val="clear" w:color="auto" w:fill="auto"/>
            <w:vAlign w:val="center"/>
          </w:tcPr>
          <w:p>
            <w:pPr>
              <w:jc w:val="left"/>
              <w:rPr>
                <w:sz w:val="18"/>
              </w:rPr>
            </w:pPr>
            <w:r>
              <w:rPr>
                <w:sz w:val="18"/>
              </w:rPr>
              <w:t>Act LC</w:t>
            </w:r>
          </w:p>
        </w:tc>
        <w:tc>
          <w:tcPr>
            <w:tcW w:w="0" w:type="auto"/>
            <w:tcBorders>
              <w:top w:val="single" w:sz="4" w:space="0" w:color="auto"/>
            </w:tcBorders>
            <w:shd w:val="clear" w:color="auto" w:fill="auto"/>
            <w:vAlign w:val="center"/>
          </w:tcPr>
          <w:p>
            <w:pPr>
              <w:jc w:val="left"/>
              <w:rPr>
                <w:sz w:val="18"/>
              </w:rPr>
            </w:pPr>
            <w:r>
              <w:rPr>
                <w:sz w:val="18"/>
              </w:rPr>
              <w:t>Active Language Course</w:t>
            </w:r>
          </w:p>
        </w:tc>
      </w:tr>
      <w:tr>
        <w:trPr>
          <w:trHeight w:hRule="exact" w:val="280"/>
        </w:trPr>
        <w:tc>
          <w:tcPr>
            <w:tcW w:w="0" w:type="auto"/>
            <w:shd w:val="clear" w:color="auto" w:fill="auto"/>
            <w:vAlign w:val="center"/>
          </w:tcPr>
          <w:p>
            <w:pPr>
              <w:jc w:val="left"/>
              <w:rPr>
                <w:sz w:val="18"/>
              </w:rPr>
            </w:pPr>
            <w:r>
              <w:rPr>
                <w:sz w:val="18"/>
              </w:rPr>
              <w:t>BEN</w:t>
            </w:r>
          </w:p>
        </w:tc>
        <w:tc>
          <w:tcPr>
            <w:tcW w:w="0" w:type="auto"/>
            <w:shd w:val="clear" w:color="auto" w:fill="auto"/>
            <w:vAlign w:val="center"/>
          </w:tcPr>
          <w:p>
            <w:pPr>
              <w:jc w:val="left"/>
              <w:rPr>
                <w:sz w:val="18"/>
              </w:rPr>
            </w:pPr>
            <w:r>
              <w:rPr>
                <w:sz w:val="18"/>
              </w:rPr>
              <w:t>Beneficiary</w:t>
            </w:r>
          </w:p>
        </w:tc>
      </w:tr>
      <w:tr>
        <w:trPr>
          <w:trHeight w:hRule="exact" w:val="280"/>
        </w:trPr>
        <w:tc>
          <w:tcPr>
            <w:tcW w:w="0" w:type="auto"/>
            <w:shd w:val="clear" w:color="auto" w:fill="auto"/>
            <w:vAlign w:val="center"/>
          </w:tcPr>
          <w:p>
            <w:pPr>
              <w:jc w:val="left"/>
              <w:rPr>
                <w:sz w:val="18"/>
              </w:rPr>
            </w:pPr>
            <w:r>
              <w:rPr>
                <w:sz w:val="18"/>
              </w:rPr>
              <w:t>CEFR</w:t>
            </w:r>
          </w:p>
        </w:tc>
        <w:tc>
          <w:tcPr>
            <w:tcW w:w="0" w:type="auto"/>
            <w:shd w:val="clear" w:color="auto" w:fill="auto"/>
            <w:vAlign w:val="center"/>
          </w:tcPr>
          <w:p>
            <w:pPr>
              <w:jc w:val="left"/>
              <w:rPr>
                <w:sz w:val="18"/>
              </w:rPr>
            </w:pPr>
            <w:r>
              <w:rPr>
                <w:sz w:val="18"/>
              </w:rPr>
              <w:t>Common European Framework of Reference for Languages: Learning, Teaching, Assessment</w:t>
            </w:r>
          </w:p>
        </w:tc>
      </w:tr>
      <w:tr>
        <w:trPr>
          <w:trHeight w:hRule="exact" w:val="280"/>
        </w:trPr>
        <w:tc>
          <w:tcPr>
            <w:tcW w:w="0" w:type="auto"/>
            <w:shd w:val="clear" w:color="auto" w:fill="auto"/>
            <w:vAlign w:val="center"/>
          </w:tcPr>
          <w:p>
            <w:pPr>
              <w:jc w:val="left"/>
              <w:rPr>
                <w:sz w:val="18"/>
              </w:rPr>
            </w:pPr>
            <w:r>
              <w:rPr>
                <w:sz w:val="18"/>
              </w:rPr>
              <w:t>Comp LA</w:t>
            </w:r>
          </w:p>
        </w:tc>
        <w:tc>
          <w:tcPr>
            <w:tcW w:w="0" w:type="auto"/>
            <w:shd w:val="clear" w:color="auto" w:fill="auto"/>
            <w:vAlign w:val="center"/>
          </w:tcPr>
          <w:p>
            <w:pPr>
              <w:jc w:val="left"/>
              <w:rPr>
                <w:sz w:val="18"/>
              </w:rPr>
            </w:pPr>
            <w:r>
              <w:rPr>
                <w:sz w:val="18"/>
              </w:rPr>
              <w:t>Completed Language Assessment</w:t>
            </w:r>
          </w:p>
        </w:tc>
      </w:tr>
      <w:tr>
        <w:trPr>
          <w:trHeight w:hRule="exact" w:val="280"/>
        </w:trPr>
        <w:tc>
          <w:tcPr>
            <w:tcW w:w="0" w:type="auto"/>
            <w:shd w:val="clear" w:color="auto" w:fill="auto"/>
            <w:vAlign w:val="center"/>
          </w:tcPr>
          <w:p>
            <w:pPr>
              <w:jc w:val="left"/>
              <w:rPr>
                <w:sz w:val="18"/>
              </w:rPr>
            </w:pPr>
            <w:r>
              <w:rPr>
                <w:sz w:val="18"/>
              </w:rPr>
              <w:t>HE</w:t>
            </w:r>
          </w:p>
        </w:tc>
        <w:tc>
          <w:tcPr>
            <w:tcW w:w="0" w:type="auto"/>
            <w:shd w:val="clear" w:color="auto" w:fill="auto"/>
            <w:vAlign w:val="center"/>
          </w:tcPr>
          <w:p>
            <w:pPr>
              <w:jc w:val="left"/>
              <w:rPr>
                <w:sz w:val="18"/>
              </w:rPr>
            </w:pPr>
            <w:r>
              <w:rPr>
                <w:sz w:val="18"/>
              </w:rPr>
              <w:t>Higher Education</w:t>
            </w:r>
          </w:p>
        </w:tc>
      </w:tr>
      <w:tr>
        <w:trPr>
          <w:trHeight w:hRule="exact" w:val="280"/>
        </w:trPr>
        <w:tc>
          <w:tcPr>
            <w:tcW w:w="0" w:type="auto"/>
            <w:shd w:val="clear" w:color="auto" w:fill="auto"/>
            <w:vAlign w:val="center"/>
          </w:tcPr>
          <w:p>
            <w:pPr>
              <w:jc w:val="left"/>
              <w:rPr>
                <w:sz w:val="18"/>
              </w:rPr>
            </w:pPr>
            <w:r>
              <w:rPr>
                <w:sz w:val="18"/>
              </w:rPr>
              <w:t>LA</w:t>
            </w:r>
          </w:p>
        </w:tc>
        <w:tc>
          <w:tcPr>
            <w:tcW w:w="0" w:type="auto"/>
            <w:shd w:val="clear" w:color="auto" w:fill="auto"/>
            <w:vAlign w:val="center"/>
          </w:tcPr>
          <w:p>
            <w:pPr>
              <w:jc w:val="left"/>
              <w:rPr>
                <w:sz w:val="18"/>
              </w:rPr>
            </w:pPr>
            <w:r>
              <w:rPr>
                <w:sz w:val="18"/>
              </w:rPr>
              <w:t>Language Assessment</w:t>
            </w:r>
          </w:p>
        </w:tc>
      </w:tr>
      <w:tr>
        <w:trPr>
          <w:trHeight w:hRule="exact" w:val="280"/>
        </w:trPr>
        <w:tc>
          <w:tcPr>
            <w:tcW w:w="0" w:type="auto"/>
            <w:shd w:val="clear" w:color="auto" w:fill="auto"/>
            <w:vAlign w:val="center"/>
          </w:tcPr>
          <w:p>
            <w:pPr>
              <w:jc w:val="left"/>
              <w:rPr>
                <w:sz w:val="18"/>
              </w:rPr>
            </w:pPr>
            <w:r>
              <w:rPr>
                <w:sz w:val="18"/>
              </w:rPr>
              <w:t>LA1</w:t>
            </w:r>
          </w:p>
        </w:tc>
        <w:tc>
          <w:tcPr>
            <w:tcW w:w="0" w:type="auto"/>
            <w:shd w:val="clear" w:color="auto" w:fill="auto"/>
            <w:vAlign w:val="center"/>
          </w:tcPr>
          <w:p>
            <w:pPr>
              <w:jc w:val="left"/>
              <w:rPr>
                <w:sz w:val="18"/>
              </w:rPr>
            </w:pPr>
            <w:r>
              <w:rPr>
                <w:sz w:val="18"/>
              </w:rPr>
              <w:t>First Language Assessment</w:t>
            </w:r>
          </w:p>
        </w:tc>
      </w:tr>
      <w:tr>
        <w:trPr>
          <w:trHeight w:hRule="exact" w:val="280"/>
        </w:trPr>
        <w:tc>
          <w:tcPr>
            <w:tcW w:w="0" w:type="auto"/>
            <w:shd w:val="clear" w:color="auto" w:fill="auto"/>
            <w:vAlign w:val="center"/>
          </w:tcPr>
          <w:p>
            <w:pPr>
              <w:jc w:val="left"/>
              <w:rPr>
                <w:sz w:val="18"/>
              </w:rPr>
            </w:pPr>
            <w:r>
              <w:rPr>
                <w:sz w:val="18"/>
              </w:rPr>
              <w:t>LA2</w:t>
            </w:r>
          </w:p>
        </w:tc>
        <w:tc>
          <w:tcPr>
            <w:tcW w:w="0" w:type="auto"/>
            <w:shd w:val="clear" w:color="auto" w:fill="auto"/>
            <w:vAlign w:val="center"/>
          </w:tcPr>
          <w:p>
            <w:pPr>
              <w:jc w:val="left"/>
              <w:rPr>
                <w:sz w:val="18"/>
              </w:rPr>
            </w:pPr>
            <w:r>
              <w:rPr>
                <w:sz w:val="18"/>
              </w:rPr>
              <w:t>Second Language Assessment</w:t>
            </w:r>
          </w:p>
        </w:tc>
      </w:tr>
      <w:tr>
        <w:trPr>
          <w:trHeight w:hRule="exact" w:val="280"/>
        </w:trPr>
        <w:tc>
          <w:tcPr>
            <w:tcW w:w="0" w:type="auto"/>
            <w:shd w:val="clear" w:color="auto" w:fill="auto"/>
            <w:vAlign w:val="center"/>
          </w:tcPr>
          <w:p>
            <w:pPr>
              <w:jc w:val="left"/>
              <w:rPr>
                <w:sz w:val="18"/>
              </w:rPr>
            </w:pPr>
            <w:r>
              <w:rPr>
                <w:sz w:val="18"/>
              </w:rPr>
              <w:t>LC</w:t>
            </w:r>
          </w:p>
        </w:tc>
        <w:tc>
          <w:tcPr>
            <w:tcW w:w="0" w:type="auto"/>
            <w:shd w:val="clear" w:color="auto" w:fill="auto"/>
            <w:vAlign w:val="center"/>
          </w:tcPr>
          <w:p>
            <w:pPr>
              <w:jc w:val="left"/>
              <w:rPr>
                <w:sz w:val="18"/>
              </w:rPr>
            </w:pPr>
            <w:r>
              <w:rPr>
                <w:sz w:val="18"/>
              </w:rPr>
              <w:t>Language Course</w:t>
            </w:r>
          </w:p>
        </w:tc>
      </w:tr>
      <w:tr>
        <w:trPr>
          <w:trHeight w:hRule="exact" w:val="280"/>
        </w:trPr>
        <w:tc>
          <w:tcPr>
            <w:tcW w:w="0" w:type="auto"/>
            <w:shd w:val="clear" w:color="auto" w:fill="auto"/>
            <w:vAlign w:val="center"/>
          </w:tcPr>
          <w:p>
            <w:pPr>
              <w:jc w:val="left"/>
              <w:rPr>
                <w:sz w:val="18"/>
              </w:rPr>
            </w:pPr>
            <w:r>
              <w:rPr>
                <w:sz w:val="18"/>
              </w:rPr>
              <w:t>MP</w:t>
            </w:r>
          </w:p>
        </w:tc>
        <w:tc>
          <w:tcPr>
            <w:tcW w:w="0" w:type="auto"/>
            <w:shd w:val="clear" w:color="auto" w:fill="auto"/>
            <w:vAlign w:val="center"/>
          </w:tcPr>
          <w:p>
            <w:pPr>
              <w:jc w:val="left"/>
              <w:rPr>
                <w:sz w:val="18"/>
              </w:rPr>
            </w:pPr>
            <w:r>
              <w:rPr>
                <w:sz w:val="18"/>
              </w:rPr>
              <w:t>Mobility Participant</w:t>
            </w:r>
          </w:p>
        </w:tc>
      </w:tr>
      <w:tr>
        <w:trPr>
          <w:trHeight w:hRule="exact" w:val="280"/>
        </w:trPr>
        <w:tc>
          <w:tcPr>
            <w:tcW w:w="0" w:type="auto"/>
            <w:shd w:val="clear" w:color="auto" w:fill="auto"/>
            <w:vAlign w:val="center"/>
          </w:tcPr>
          <w:p>
            <w:pPr>
              <w:jc w:val="left"/>
              <w:rPr>
                <w:sz w:val="18"/>
              </w:rPr>
            </w:pPr>
            <w:r>
              <w:rPr>
                <w:sz w:val="18"/>
              </w:rPr>
              <w:t>NA</w:t>
            </w:r>
          </w:p>
        </w:tc>
        <w:tc>
          <w:tcPr>
            <w:tcW w:w="0" w:type="auto"/>
            <w:shd w:val="clear" w:color="auto" w:fill="auto"/>
            <w:vAlign w:val="center"/>
          </w:tcPr>
          <w:p>
            <w:pPr>
              <w:jc w:val="left"/>
              <w:rPr>
                <w:sz w:val="18"/>
              </w:rPr>
            </w:pPr>
            <w:r>
              <w:rPr>
                <w:sz w:val="18"/>
              </w:rPr>
              <w:t>National Agency</w:t>
            </w:r>
          </w:p>
        </w:tc>
      </w:tr>
      <w:tr>
        <w:trPr>
          <w:trHeight w:hRule="exact" w:val="280"/>
        </w:trPr>
        <w:tc>
          <w:tcPr>
            <w:tcW w:w="0" w:type="auto"/>
            <w:shd w:val="clear" w:color="auto" w:fill="auto"/>
            <w:vAlign w:val="center"/>
          </w:tcPr>
          <w:p>
            <w:pPr>
              <w:jc w:val="left"/>
              <w:rPr>
                <w:sz w:val="18"/>
              </w:rPr>
            </w:pPr>
            <w:r>
              <w:rPr>
                <w:sz w:val="18"/>
              </w:rPr>
              <w:t>OLS</w:t>
            </w:r>
          </w:p>
        </w:tc>
        <w:tc>
          <w:tcPr>
            <w:tcW w:w="0" w:type="auto"/>
            <w:shd w:val="clear" w:color="auto" w:fill="auto"/>
            <w:vAlign w:val="center"/>
          </w:tcPr>
          <w:p>
            <w:pPr>
              <w:jc w:val="left"/>
              <w:rPr>
                <w:sz w:val="18"/>
              </w:rPr>
            </w:pPr>
            <w:r>
              <w:rPr>
                <w:sz w:val="18"/>
              </w:rPr>
              <w:t>Online Linguistic Support</w:t>
            </w:r>
          </w:p>
        </w:tc>
      </w:tr>
      <w:tr>
        <w:trPr>
          <w:trHeight w:hRule="exact" w:val="280"/>
        </w:trPr>
        <w:tc>
          <w:tcPr>
            <w:tcW w:w="0" w:type="auto"/>
            <w:shd w:val="clear" w:color="auto" w:fill="auto"/>
            <w:vAlign w:val="center"/>
          </w:tcPr>
          <w:p>
            <w:pPr>
              <w:jc w:val="left"/>
              <w:rPr>
                <w:sz w:val="18"/>
              </w:rPr>
            </w:pPr>
            <w:r>
              <w:rPr>
                <w:sz w:val="18"/>
              </w:rPr>
              <w:t>VET</w:t>
            </w:r>
          </w:p>
        </w:tc>
        <w:tc>
          <w:tcPr>
            <w:tcW w:w="0" w:type="auto"/>
            <w:shd w:val="clear" w:color="auto" w:fill="auto"/>
            <w:vAlign w:val="center"/>
          </w:tcPr>
          <w:p>
            <w:pPr>
              <w:jc w:val="left"/>
              <w:rPr>
                <w:sz w:val="18"/>
              </w:rPr>
            </w:pPr>
            <w:r>
              <w:rPr>
                <w:sz w:val="18"/>
              </w:rPr>
              <w:t>Vocational Education and Training</w:t>
            </w:r>
          </w:p>
        </w:tc>
      </w:tr>
      <w:tr>
        <w:trPr>
          <w:trHeight w:hRule="exact" w:val="280"/>
        </w:trPr>
        <w:tc>
          <w:tcPr>
            <w:tcW w:w="0" w:type="auto"/>
            <w:shd w:val="clear" w:color="auto" w:fill="auto"/>
            <w:vAlign w:val="center"/>
          </w:tcPr>
          <w:p>
            <w:pPr>
              <w:jc w:val="left"/>
              <w:rPr>
                <w:sz w:val="18"/>
              </w:rPr>
            </w:pPr>
            <w:r>
              <w:rPr>
                <w:sz w:val="18"/>
              </w:rPr>
              <w:t>YOU</w:t>
            </w:r>
          </w:p>
        </w:tc>
        <w:tc>
          <w:tcPr>
            <w:tcW w:w="0" w:type="auto"/>
            <w:shd w:val="clear" w:color="auto" w:fill="auto"/>
            <w:vAlign w:val="center"/>
          </w:tcPr>
          <w:p>
            <w:pPr>
              <w:jc w:val="left"/>
              <w:rPr>
                <w:sz w:val="18"/>
              </w:rPr>
            </w:pPr>
            <w:r>
              <w:rPr>
                <w:sz w:val="18"/>
              </w:rPr>
              <w:t>Youth</w:t>
            </w:r>
          </w:p>
        </w:tc>
      </w:tr>
      <w:tr>
        <w:trPr>
          <w:trHeight w:hRule="exact" w:val="280"/>
        </w:trPr>
        <w:tc>
          <w:tcPr>
            <w:tcW w:w="0" w:type="auto"/>
            <w:tcBorders>
              <w:bottom w:val="single" w:sz="4" w:space="0" w:color="auto"/>
            </w:tcBorders>
            <w:shd w:val="clear" w:color="auto" w:fill="auto"/>
            <w:vAlign w:val="center"/>
          </w:tcPr>
          <w:p>
            <w:pPr>
              <w:jc w:val="left"/>
              <w:rPr>
                <w:sz w:val="18"/>
              </w:rPr>
            </w:pPr>
            <w:r>
              <w:rPr>
                <w:sz w:val="18"/>
              </w:rPr>
              <w:t>OT</w:t>
            </w:r>
          </w:p>
        </w:tc>
        <w:tc>
          <w:tcPr>
            <w:tcW w:w="0" w:type="auto"/>
            <w:tcBorders>
              <w:bottom w:val="single" w:sz="4" w:space="0" w:color="auto"/>
            </w:tcBorders>
            <w:shd w:val="clear" w:color="auto" w:fill="auto"/>
            <w:vAlign w:val="center"/>
          </w:tcPr>
          <w:p>
            <w:pPr>
              <w:jc w:val="left"/>
              <w:rPr>
                <w:sz w:val="18"/>
              </w:rPr>
            </w:pPr>
            <w:r>
              <w:rPr>
                <w:sz w:val="18"/>
              </w:rPr>
              <w:t>Languages introduced with the Call 2016: Czech, Danish, Greek, Polish, Portuguese, Swedish</w:t>
            </w:r>
          </w:p>
        </w:tc>
      </w:tr>
      <w:bookmarkEnd w:id="49"/>
    </w:tbl>
    <w:p/>
    <w:p>
      <w:pPr>
        <w:sectPr>
          <w:type w:val="continuous"/>
          <w:pgSz w:w="11907" w:h="16839" w:code="9"/>
          <w:pgMar w:top="1440" w:right="1440" w:bottom="1440" w:left="1440" w:header="709" w:footer="709" w:gutter="0"/>
          <w:cols w:space="708"/>
          <w:docGrid w:linePitch="360"/>
        </w:sectPr>
      </w:pPr>
      <w:bookmarkStart w:id="50" w:name="R2wdEndmark"/>
      <w:bookmarkEnd w:id="50"/>
    </w:p>
    <w:p>
      <w:pPr>
        <w:pStyle w:val="Titre1"/>
      </w:pPr>
      <w:bookmarkStart w:id="51" w:name="sec_VII__CEFR_Levels"/>
      <w:bookmarkStart w:id="52" w:name="_Toc476736941"/>
      <w:bookmarkEnd w:id="51"/>
      <w:r>
        <w:lastRenderedPageBreak/>
        <w:t>VII. CEFR Levels</w:t>
      </w:r>
      <w:bookmarkEnd w:id="52"/>
    </w:p>
    <w:p>
      <w:bookmarkStart w:id="53" w:name="InlineShape12"/>
      <w:r>
        <w:rPr>
          <w:noProof/>
          <w:lang w:val="fr-BE" w:eastAsia="fr-BE"/>
        </w:rPr>
        <w:drawing>
          <wp:inline distT="0" distB="0" distL="0" distR="0">
            <wp:extent cx="3657600" cy="228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bookmarkEnd w:id="53"/>
    </w:p>
    <w:sectPr>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pPr>
      <w:pStyle w:val="Pieddepage"/>
      <w:ind w:right="360"/>
    </w:pPr>
    <w:r>
      <w:t>Erasmus+ OLS Statistical Report For National Agencies</w:t>
    </w:r>
  </w:p>
  <w:p>
    <w:pPr>
      <w:pStyle w:val="Pieddepage"/>
    </w:pPr>
    <w:r>
      <w:t>BE01 - Higher Education - All Calls - From 01/10/2014 to 28/02/2017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r>
      <w:t>Consortium UCL-ALTISSIA-CLL</w:t>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2CA45-5F9B-41F6-BF89-9F12129A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paragraph" w:styleId="Lgende">
    <w:name w:val="caption"/>
    <w:basedOn w:val="Normal"/>
    <w:next w:val="Normal"/>
    <w:uiPriority w:val="35"/>
    <w:unhideWhenUsed/>
    <w:qFormat/>
    <w:pPr>
      <w:spacing w:line="240" w:lineRule="auto"/>
    </w:pPr>
    <w:rPr>
      <w:b/>
      <w:bCs/>
      <w:color w:val="4F81BD" w:themeColor="accent1"/>
      <w:sz w:val="18"/>
      <w:szCs w:val="18"/>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pPr>
      <w:tabs>
        <w:tab w:val="center" w:pos="4703"/>
        <w:tab w:val="right" w:pos="940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703"/>
        <w:tab w:val="right" w:pos="9406"/>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20"/>
    </w:pPr>
  </w:style>
  <w:style w:type="character" w:styleId="Numrodepage">
    <w:name w:val="page number"/>
    <w:basedOn w:val="Policepardfau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webSettings" Target="webSettings.xml"/><Relationship Id="rId21" Type="http://schemas.openxmlformats.org/officeDocument/2006/relationships/image" Target="media/image10.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2461</Words>
  <Characters>13536</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DELBASCOURT Mélanie</cp:lastModifiedBy>
  <cp:revision>2</cp:revision>
  <dcterms:created xsi:type="dcterms:W3CDTF">2017-03-17T09:41:00Z</dcterms:created>
  <dcterms:modified xsi:type="dcterms:W3CDTF">2017-03-17T09:41:00Z</dcterms:modified>
</cp:coreProperties>
</file>