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nnex"/>
        <w:spacing w:after="600"/>
        <w:ind w:left="0" w:firstLine="0"/>
        <w:jc w:val="center"/>
        <w:rPr>
          <w:rFonts w:ascii="Roboto" w:hAnsi="Roboto"/>
          <w:sz w:val="20"/>
          <w:szCs w:val="20"/>
        </w:rPr>
      </w:pPr>
      <w:r>
        <w:rPr>
          <w:rFonts w:ascii="Roboto" w:hAnsi="Roboto"/>
          <w:sz w:val="20"/>
          <w:szCs w:val="20"/>
        </w:rPr>
        <w:t xml:space="preserve">ANNEXE 2 – Règles applicables aux coûts éligibles </w:t>
      </w:r>
    </w:p>
    <w:p>
      <w:pPr>
        <w:pStyle w:val="Titre1"/>
        <w:numPr>
          <w:ilvl w:val="0"/>
          <w:numId w:val="36"/>
        </w:numPr>
        <w:rPr>
          <w:rFonts w:ascii="Roboto" w:eastAsia="Calibri" w:hAnsi="Roboto"/>
          <w:sz w:val="20"/>
          <w:szCs w:val="20"/>
        </w:rPr>
      </w:pPr>
      <w:r>
        <w:rPr>
          <w:rFonts w:ascii="Roboto" w:hAnsi="Roboto"/>
          <w:sz w:val="20"/>
          <w:szCs w:val="20"/>
        </w:rPr>
        <w:t xml:space="preserve">Contributions unitaires </w:t>
      </w:r>
    </w:p>
    <w:p>
      <w:pPr>
        <w:spacing w:after="200" w:line="240" w:lineRule="auto"/>
        <w:jc w:val="both"/>
        <w:rPr>
          <w:rFonts w:ascii="Roboto" w:hAnsi="Roboto" w:cs="Times New Roman"/>
          <w:sz w:val="20"/>
          <w:szCs w:val="20"/>
        </w:rPr>
      </w:pPr>
      <w:r>
        <w:rPr>
          <w:rFonts w:ascii="Roboto" w:hAnsi="Roboto"/>
          <w:b/>
          <w:sz w:val="20"/>
          <w:szCs w:val="20"/>
        </w:rPr>
        <w:t xml:space="preserve">Lieu d’origine </w:t>
      </w:r>
      <w:r>
        <w:rPr>
          <w:rFonts w:ascii="Roboto" w:hAnsi="Roboto"/>
          <w:sz w:val="20"/>
          <w:szCs w:val="20"/>
        </w:rPr>
        <w:t>: le lieu où se situe l’organisation d’envoi.</w:t>
      </w:r>
    </w:p>
    <w:p>
      <w:pPr>
        <w:suppressAutoHyphens/>
        <w:spacing w:after="200" w:line="240" w:lineRule="auto"/>
        <w:jc w:val="both"/>
        <w:rPr>
          <w:rFonts w:ascii="Roboto" w:eastAsia="Calibri" w:hAnsi="Roboto" w:cs="Times New Roman"/>
          <w:sz w:val="20"/>
          <w:szCs w:val="20"/>
        </w:rPr>
      </w:pPr>
      <w:r>
        <w:rPr>
          <w:rFonts w:ascii="Roboto" w:hAnsi="Roboto"/>
          <w:b/>
          <w:sz w:val="20"/>
          <w:szCs w:val="20"/>
        </w:rPr>
        <w:t>Moyens de transport durables :</w:t>
      </w:r>
      <w:r>
        <w:rPr>
          <w:rFonts w:ascii="Roboto" w:hAnsi="Roboto"/>
          <w:sz w:val="20"/>
          <w:szCs w:val="20"/>
        </w:rPr>
        <w:t xml:space="preserve"> le vélo, le bus, le covoiturage et le train. L’agence nationale peut accepter de considérer d’autres moyens de transport comme durables sur la base d’une pratique établie et au cas par cas. </w:t>
      </w:r>
    </w:p>
    <w:p>
      <w:pPr>
        <w:pStyle w:val="Commentaire"/>
        <w:rPr>
          <w:rFonts w:ascii="Roboto" w:hAnsi="Roboto"/>
        </w:rPr>
      </w:pPr>
      <w:r>
        <w:rPr>
          <w:rFonts w:ascii="Roboto" w:hAnsi="Roboto"/>
        </w:rPr>
        <w:t>La contribution unitaire aux frais de voyage applicable aux moyens de transport durables (transport écoresponsable) est éligible si des moyens de transport durables ont été utilisés pour la majorité du voyage aller-retour.</w:t>
      </w:r>
    </w:p>
    <w:p>
      <w:pPr>
        <w:suppressAutoHyphens/>
        <w:spacing w:after="200" w:line="240" w:lineRule="auto"/>
        <w:jc w:val="both"/>
        <w:rPr>
          <w:rFonts w:ascii="Roboto" w:eastAsia="Calibri" w:hAnsi="Roboto" w:cs="Times New Roman"/>
          <w:sz w:val="20"/>
          <w:szCs w:val="20"/>
        </w:rPr>
      </w:pPr>
      <w:r>
        <w:rPr>
          <w:rFonts w:ascii="Roboto" w:hAnsi="Roboto"/>
          <w:b/>
          <w:sz w:val="20"/>
          <w:szCs w:val="20"/>
        </w:rPr>
        <w:t xml:space="preserve">Contribution unitaire par tranche de distance </w:t>
      </w:r>
      <w:r>
        <w:rPr>
          <w:rFonts w:ascii="Roboto" w:hAnsi="Roboto"/>
          <w:sz w:val="20"/>
          <w:szCs w:val="20"/>
        </w:rPr>
        <w:t>: le montant payé pour un voyage aller-retour entre le lieu de départ et le lieu d’arrivée.</w:t>
      </w:r>
    </w:p>
    <w:p>
      <w:pPr>
        <w:spacing w:after="200" w:line="240" w:lineRule="auto"/>
        <w:jc w:val="both"/>
        <w:rPr>
          <w:rFonts w:ascii="Roboto" w:eastAsia="Calibri" w:hAnsi="Roboto" w:cs="Times New Roman"/>
          <w:sz w:val="20"/>
          <w:szCs w:val="20"/>
        </w:rPr>
      </w:pPr>
      <w:r>
        <w:rPr>
          <w:rFonts w:ascii="Roboto" w:hAnsi="Roboto"/>
          <w:b/>
          <w:sz w:val="20"/>
          <w:szCs w:val="20"/>
        </w:rPr>
        <w:t xml:space="preserve">Lieu d’accueil </w:t>
      </w:r>
      <w:r>
        <w:rPr>
          <w:rFonts w:ascii="Roboto" w:hAnsi="Roboto"/>
          <w:sz w:val="20"/>
          <w:szCs w:val="20"/>
        </w:rPr>
        <w:t>: le lieu où se situe l’organisation d’accueil. Si un lieu d’origine ou d’accueil différent est indiqué, le bénéficiaire doit fournir la raison de cette différence.</w:t>
      </w:r>
    </w:p>
    <w:p>
      <w:pPr>
        <w:spacing w:after="200" w:line="240" w:lineRule="auto"/>
        <w:jc w:val="both"/>
        <w:rPr>
          <w:rFonts w:ascii="Roboto" w:hAnsi="Roboto" w:cs="Times New Roman"/>
          <w:b/>
          <w:sz w:val="20"/>
          <w:szCs w:val="20"/>
        </w:rPr>
      </w:pPr>
      <w:r>
        <w:rPr>
          <w:rFonts w:ascii="Roboto" w:hAnsi="Roboto"/>
          <w:sz w:val="20"/>
          <w:szCs w:val="20"/>
        </w:rPr>
        <w:t xml:space="preserve">La durée du voyage ne sera pas prise en considération pour déterminer la conformité avec la durée minimale éligible des activités de mobilité spécifiée dans le guide du programme. </w:t>
      </w:r>
    </w:p>
    <w:p>
      <w:pPr>
        <w:pStyle w:val="Titre2"/>
        <w:ind w:left="0" w:firstLine="0"/>
        <w:rPr>
          <w:rFonts w:ascii="Roboto" w:eastAsia="SimSun" w:hAnsi="Roboto"/>
          <w:b w:val="0"/>
          <w:sz w:val="20"/>
          <w:szCs w:val="20"/>
          <w:shd w:val="clear" w:color="auto" w:fill="FFFF00"/>
        </w:rPr>
      </w:pPr>
      <w:r>
        <w:rPr>
          <w:rFonts w:ascii="Roboto" w:hAnsi="Roboto"/>
          <w:sz w:val="20"/>
          <w:szCs w:val="20"/>
        </w:rPr>
        <w:t>1.1 Frais de voyage</w:t>
      </w:r>
    </w:p>
    <w:p>
      <w:pPr>
        <w:suppressAutoHyphens/>
        <w:spacing w:line="240" w:lineRule="auto"/>
        <w:ind w:left="360"/>
        <w:rPr>
          <w:rFonts w:ascii="Roboto" w:hAnsi="Roboto" w:cs="Times New Roman"/>
          <w:color w:val="000000"/>
          <w:sz w:val="20"/>
          <w:szCs w:val="20"/>
        </w:rPr>
      </w:pPr>
      <w:r>
        <w:rPr>
          <w:rFonts w:ascii="Roboto" w:hAnsi="Roboto"/>
          <w:sz w:val="20"/>
          <w:szCs w:val="20"/>
          <w:u w:val="single"/>
        </w:rPr>
        <w:t>a) Calcul de la contribution unitaire totale</w:t>
      </w:r>
      <w:r>
        <w:rPr>
          <w:rFonts w:ascii="Roboto" w:hAnsi="Roboto"/>
          <w:sz w:val="20"/>
          <w:szCs w:val="20"/>
        </w:rPr>
        <w:t xml:space="preserve"> </w:t>
      </w:r>
    </w:p>
    <w:p>
      <w:pPr>
        <w:suppressAutoHyphens/>
        <w:spacing w:line="240" w:lineRule="auto"/>
        <w:jc w:val="both"/>
        <w:rPr>
          <w:rFonts w:ascii="Roboto" w:hAnsi="Roboto" w:cs="Times New Roman"/>
          <w:color w:val="000000"/>
          <w:sz w:val="20"/>
          <w:szCs w:val="20"/>
        </w:rPr>
      </w:pPr>
      <w:r>
        <w:rPr>
          <w:rFonts w:ascii="Roboto" w:hAnsi="Roboto"/>
          <w:sz w:val="20"/>
          <w:szCs w:val="20"/>
        </w:rPr>
        <w:t>La contribution unitaire totale au titre de la contribution aux frais de voyage est calculée en multipliant</w:t>
      </w:r>
      <w:r>
        <w:rPr>
          <w:rFonts w:ascii="Roboto" w:hAnsi="Roboto"/>
          <w:color w:val="000000"/>
          <w:sz w:val="20"/>
          <w:szCs w:val="20"/>
        </w:rPr>
        <w:t xml:space="preserve"> </w:t>
      </w:r>
      <w:r>
        <w:rPr>
          <w:rFonts w:ascii="Roboto" w:hAnsi="Roboto"/>
          <w:sz w:val="20"/>
          <w:szCs w:val="20"/>
        </w:rPr>
        <w:t xml:space="preserve">le nombre de participants et d’accompagnateurs par tranche de distance, par la contribution unitaire applicable à la tranche de distance concernée et au type de voyage (moyen de transport standard ou durable), comme spécifié à l’annexe 3 de la convention. </w:t>
      </w:r>
    </w:p>
    <w:p>
      <w:pPr>
        <w:suppressAutoHyphens/>
        <w:spacing w:after="200" w:line="240" w:lineRule="auto"/>
        <w:jc w:val="both"/>
        <w:rPr>
          <w:rFonts w:ascii="Roboto" w:eastAsia="Calibri" w:hAnsi="Roboto" w:cs="Times New Roman"/>
          <w:sz w:val="20"/>
          <w:szCs w:val="20"/>
        </w:rPr>
      </w:pPr>
      <w:r>
        <w:rPr>
          <w:rFonts w:ascii="Roboto" w:hAnsi="Roboto"/>
          <w:sz w:val="20"/>
          <w:szCs w:val="20"/>
        </w:rPr>
        <w:t xml:space="preserve">Pour déterminer la tranche de distance applicable, le bénéficiaire indique la distance d’un voyage aller en utilisant le calculateur de distance en ligne disponible sur le site internet de la Commission à l’adresse suivante : </w:t>
      </w:r>
      <w:hyperlink r:id="rId11" w:history="1">
        <w:r>
          <w:rPr>
            <w:rFonts w:ascii="Roboto" w:hAnsi="Roboto"/>
            <w:color w:val="0000FF"/>
            <w:sz w:val="20"/>
            <w:szCs w:val="20"/>
            <w:u w:val="single"/>
          </w:rPr>
          <w:t>http://ec.europa.eu/programmes/erasmus-plus/tools/distance_fr.htm</w:t>
        </w:r>
      </w:hyperlink>
      <w:r>
        <w:rPr>
          <w:rFonts w:ascii="Roboto" w:hAnsi="Roboto"/>
          <w:sz w:val="20"/>
          <w:szCs w:val="20"/>
        </w:rPr>
        <w:t xml:space="preserve">. </w:t>
      </w:r>
    </w:p>
    <w:p>
      <w:pPr>
        <w:suppressAutoHyphens/>
        <w:spacing w:after="200" w:line="240" w:lineRule="auto"/>
        <w:jc w:val="both"/>
        <w:rPr>
          <w:rFonts w:ascii="Roboto" w:eastAsia="Calibri" w:hAnsi="Roboto" w:cs="Times New Roman"/>
          <w:sz w:val="20"/>
          <w:szCs w:val="20"/>
        </w:rPr>
      </w:pPr>
      <w:r>
        <w:rPr>
          <w:rFonts w:ascii="Roboto" w:hAnsi="Roboto"/>
          <w:sz w:val="20"/>
          <w:szCs w:val="20"/>
        </w:rPr>
        <w:t xml:space="preserve">Le bénéficiaire calcule, dans l’outil d’établissement de rapports et de gestion d’Erasmus+, la contribution unitaire totale au titre de la contribution aux frais de voyage sur la base des taux de contribution unitaire applicables. </w:t>
      </w:r>
    </w:p>
    <w:p>
      <w:pPr>
        <w:pStyle w:val="Paragraphedeliste"/>
        <w:numPr>
          <w:ilvl w:val="0"/>
          <w:numId w:val="25"/>
        </w:numPr>
        <w:suppressAutoHyphens/>
        <w:rPr>
          <w:rFonts w:ascii="Roboto" w:eastAsia="Calibri" w:hAnsi="Roboto"/>
          <w:sz w:val="20"/>
          <w:szCs w:val="20"/>
        </w:rPr>
      </w:pPr>
      <w:r>
        <w:rPr>
          <w:rFonts w:ascii="Roboto" w:hAnsi="Roboto"/>
          <w:sz w:val="20"/>
          <w:szCs w:val="20"/>
          <w:u w:val="single"/>
        </w:rPr>
        <w:t>Événement déclencheur</w:t>
      </w:r>
    </w:p>
    <w:p>
      <w:pPr>
        <w:suppressAutoHyphens/>
        <w:spacing w:after="0" w:line="240" w:lineRule="auto"/>
        <w:jc w:val="both"/>
        <w:rPr>
          <w:rFonts w:ascii="Roboto" w:eastAsia="Calibri" w:hAnsi="Roboto" w:cs="Times New Roman"/>
          <w:sz w:val="20"/>
          <w:szCs w:val="20"/>
        </w:rPr>
      </w:pPr>
      <w:r>
        <w:rPr>
          <w:rFonts w:ascii="Roboto" w:hAnsi="Roboto"/>
          <w:sz w:val="20"/>
          <w:szCs w:val="20"/>
        </w:rPr>
        <w:t>La contribution aux frais de voyage n’est versée que si le participant a effectivement entrepris l’activité.</w:t>
      </w:r>
    </w:p>
    <w:p>
      <w:pPr>
        <w:suppressAutoHyphens/>
        <w:spacing w:after="0" w:line="240" w:lineRule="auto"/>
        <w:ind w:left="502"/>
        <w:rPr>
          <w:rFonts w:ascii="Roboto" w:eastAsia="Calibri" w:hAnsi="Roboto" w:cs="Times New Roman"/>
          <w:sz w:val="20"/>
          <w:szCs w:val="20"/>
          <w:lang w:eastAsia="ar-SA"/>
        </w:rPr>
      </w:pPr>
    </w:p>
    <w:p>
      <w:pPr>
        <w:pStyle w:val="Paragraphedeliste"/>
        <w:numPr>
          <w:ilvl w:val="0"/>
          <w:numId w:val="25"/>
        </w:numPr>
        <w:suppressAutoHyphens/>
        <w:spacing w:after="0"/>
        <w:rPr>
          <w:rFonts w:ascii="Roboto" w:eastAsia="Calibri" w:hAnsi="Roboto"/>
          <w:sz w:val="20"/>
          <w:szCs w:val="20"/>
          <w:u w:val="single"/>
        </w:rPr>
      </w:pPr>
      <w:r>
        <w:rPr>
          <w:rFonts w:ascii="Roboto" w:hAnsi="Roboto"/>
          <w:color w:val="000000"/>
          <w:sz w:val="20"/>
          <w:szCs w:val="20"/>
          <w:u w:val="single"/>
        </w:rPr>
        <w:t>Pièces justificatives</w:t>
      </w:r>
    </w:p>
    <w:p>
      <w:pPr>
        <w:suppressAutoHyphens/>
        <w:spacing w:after="0" w:line="240" w:lineRule="auto"/>
        <w:ind w:left="720"/>
        <w:rPr>
          <w:rFonts w:ascii="Roboto" w:eastAsia="SimSun" w:hAnsi="Roboto" w:cs="Times New Roman"/>
          <w:color w:val="000000"/>
          <w:sz w:val="20"/>
          <w:szCs w:val="20"/>
          <w:lang w:eastAsia="ar-SA"/>
        </w:rPr>
      </w:pPr>
    </w:p>
    <w:p>
      <w:pPr>
        <w:suppressAutoHyphens/>
        <w:spacing w:after="240" w:line="240" w:lineRule="auto"/>
        <w:jc w:val="both"/>
        <w:rPr>
          <w:rFonts w:ascii="Roboto" w:hAnsi="Roboto"/>
          <w:color w:val="000000"/>
          <w:sz w:val="20"/>
          <w:szCs w:val="20"/>
        </w:rPr>
      </w:pPr>
      <w:r>
        <w:rPr>
          <w:rFonts w:ascii="Roboto" w:hAnsi="Roboto"/>
          <w:color w:val="000000"/>
          <w:sz w:val="20"/>
          <w:szCs w:val="20"/>
        </w:rPr>
        <w:t xml:space="preserve">Activités individuelles : la preuve de la participation à l’activité, sous la forme d’un document Europass-Mobilité ou d’un autre type de document précisant les acquis d’apprentissage du participant, ainsi que les dates de début et de fin de l’activité. Lorsque des personnes ont accompagné les participants au cours de l’activité, leur nom et la durée de leur séjour seront également indiqués. Les pièces justificatives sont </w:t>
      </w:r>
      <w:r>
        <w:rPr>
          <w:rFonts w:ascii="Roboto" w:hAnsi="Roboto"/>
          <w:color w:val="000000"/>
          <w:sz w:val="20"/>
          <w:szCs w:val="20"/>
        </w:rPr>
        <w:lastRenderedPageBreak/>
        <w:t xml:space="preserve">signées par l’organisation d’accueil et le participant. </w:t>
      </w:r>
      <w:r>
        <w:rPr>
          <w:rFonts w:ascii="Roboto" w:hAnsi="Roboto"/>
          <w:sz w:val="20"/>
          <w:szCs w:val="20"/>
        </w:rPr>
        <w:t>Pour les experts invités, la liste des acquis d’apprentissage sera remplacée par un programme d’apprentissage fourni par l’expert et signé par l’organisation invitante.</w:t>
      </w:r>
      <w:r>
        <w:rPr>
          <w:rFonts w:ascii="Roboto" w:hAnsi="Roboto"/>
          <w:color w:val="000000"/>
          <w:sz w:val="20"/>
          <w:szCs w:val="20"/>
        </w:rPr>
        <w:t xml:space="preserve"> En outre, un contrat de bourse signé par le bénéficiaire et le participant sera requis à titre de pièce justificative pour les types d’activités suivants : </w:t>
      </w:r>
    </w:p>
    <w:p>
      <w:pPr>
        <w:pStyle w:val="Paragraphedeliste"/>
        <w:numPr>
          <w:ilvl w:val="0"/>
          <w:numId w:val="41"/>
        </w:numPr>
        <w:autoSpaceDE w:val="0"/>
        <w:autoSpaceDN w:val="0"/>
        <w:spacing w:after="0"/>
        <w:rPr>
          <w:rFonts w:ascii="Roboto" w:eastAsia="Calibri" w:hAnsi="Roboto"/>
          <w:color w:val="000000" w:themeColor="text1"/>
          <w:sz w:val="20"/>
          <w:szCs w:val="20"/>
          <w:lang w:val="fr-BE"/>
        </w:rPr>
      </w:pPr>
      <w:r>
        <w:rPr>
          <w:rFonts w:ascii="Roboto" w:eastAsia="Calibri" w:hAnsi="Roboto"/>
          <w:color w:val="000000" w:themeColor="text1"/>
          <w:sz w:val="20"/>
          <w:szCs w:val="20"/>
          <w:lang w:val="fr-BE"/>
        </w:rPr>
        <w:t>Mobilité des personnels</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Période d’observation en situation de travail </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Missions d’enseignement </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Cours et formations</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Experts invités </w:t>
      </w:r>
    </w:p>
    <w:p>
      <w:pPr>
        <w:numPr>
          <w:ilvl w:val="0"/>
          <w:numId w:val="39"/>
        </w:numPr>
        <w:autoSpaceDE w:val="0"/>
        <w:autoSpaceDN w:val="0"/>
        <w:spacing w:after="0"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Accueil d’enseignants et d’éducateurs en cours de formation </w:t>
      </w:r>
    </w:p>
    <w:p>
      <w:pPr>
        <w:autoSpaceDE w:val="0"/>
        <w:autoSpaceDN w:val="0"/>
        <w:spacing w:after="0" w:line="240" w:lineRule="auto"/>
        <w:ind w:left="720"/>
        <w:rPr>
          <w:rFonts w:ascii="Roboto" w:eastAsia="Calibri" w:hAnsi="Roboto" w:cs="Times New Roman"/>
          <w:color w:val="000000" w:themeColor="text1"/>
          <w:sz w:val="20"/>
          <w:szCs w:val="20"/>
          <w:lang w:val="fr-BE"/>
        </w:rPr>
      </w:pPr>
    </w:p>
    <w:p>
      <w:pPr>
        <w:pStyle w:val="Paragraphedeliste"/>
        <w:numPr>
          <w:ilvl w:val="0"/>
          <w:numId w:val="41"/>
        </w:numPr>
        <w:autoSpaceDE w:val="0"/>
        <w:autoSpaceDN w:val="0"/>
        <w:spacing w:after="15"/>
        <w:rPr>
          <w:rFonts w:ascii="Roboto" w:eastAsia="Calibri" w:hAnsi="Roboto"/>
          <w:color w:val="000000" w:themeColor="text1"/>
          <w:sz w:val="20"/>
          <w:szCs w:val="20"/>
          <w:lang w:val="fr-BE"/>
        </w:rPr>
      </w:pPr>
      <w:r>
        <w:rPr>
          <w:rFonts w:ascii="Roboto" w:eastAsia="Calibri" w:hAnsi="Roboto"/>
          <w:color w:val="000000" w:themeColor="text1"/>
          <w:sz w:val="20"/>
          <w:szCs w:val="20"/>
          <w:lang w:val="fr-BE"/>
        </w:rPr>
        <w:t>Mobilité des élèves/</w:t>
      </w:r>
      <w:r>
        <w:rPr>
          <w:rFonts w:ascii="Roboto" w:eastAsia="Calibri" w:hAnsi="Roboto" w:cs="Calibri"/>
          <w:color w:val="000000" w:themeColor="text1"/>
          <w:sz w:val="20"/>
          <w:szCs w:val="20"/>
          <w:lang w:val="fr-BE"/>
        </w:rPr>
        <w:t xml:space="preserve"> apprenants</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Mobilité de courte durée à des fins d’apprentissage </w:t>
      </w:r>
    </w:p>
    <w:p>
      <w:pPr>
        <w:numPr>
          <w:ilvl w:val="0"/>
          <w:numId w:val="39"/>
        </w:numPr>
        <w:autoSpaceDE w:val="0"/>
        <w:autoSpaceDN w:val="0"/>
        <w:spacing w:after="15" w:line="240" w:lineRule="auto"/>
        <w:ind w:left="1134"/>
        <w:rPr>
          <w:rFonts w:ascii="Roboto" w:eastAsia="Calibri" w:hAnsi="Roboto" w:cs="Times New Roman"/>
          <w:color w:val="000000" w:themeColor="text1"/>
          <w:sz w:val="20"/>
          <w:szCs w:val="20"/>
          <w:lang w:val="fr-BE"/>
        </w:rPr>
      </w:pPr>
      <w:r>
        <w:rPr>
          <w:rFonts w:ascii="Roboto" w:eastAsia="Calibri" w:hAnsi="Roboto" w:cs="Times New Roman"/>
          <w:color w:val="000000" w:themeColor="text1"/>
          <w:sz w:val="20"/>
          <w:szCs w:val="20"/>
          <w:lang w:val="fr-BE"/>
        </w:rPr>
        <w:t xml:space="preserve">Mobilité </w:t>
      </w:r>
      <w:bookmarkStart w:id="0" w:name="_GoBack"/>
      <w:r>
        <w:rPr>
          <w:rFonts w:ascii="Roboto" w:eastAsia="Calibri" w:hAnsi="Roboto" w:cs="Times New Roman"/>
          <w:color w:val="000000" w:themeColor="text1"/>
          <w:sz w:val="20"/>
          <w:szCs w:val="20"/>
          <w:lang w:val="fr-BE"/>
        </w:rPr>
        <w:t xml:space="preserve">de longue durée </w:t>
      </w:r>
      <w:bookmarkEnd w:id="0"/>
      <w:r>
        <w:rPr>
          <w:rFonts w:ascii="Roboto" w:eastAsia="Calibri" w:hAnsi="Roboto" w:cs="Times New Roman"/>
          <w:color w:val="000000" w:themeColor="text1"/>
          <w:sz w:val="20"/>
          <w:szCs w:val="20"/>
          <w:lang w:val="fr-BE"/>
        </w:rPr>
        <w:t xml:space="preserve">à des fins d’apprentissage </w:t>
      </w:r>
    </w:p>
    <w:p>
      <w:pPr>
        <w:suppressAutoHyphens/>
        <w:spacing w:after="0" w:line="240" w:lineRule="auto"/>
        <w:jc w:val="both"/>
        <w:rPr>
          <w:rFonts w:ascii="Roboto" w:hAnsi="Roboto"/>
          <w:color w:val="000000"/>
          <w:sz w:val="20"/>
          <w:szCs w:val="20"/>
          <w:lang w:val="fr-BE"/>
        </w:rPr>
      </w:pPr>
    </w:p>
    <w:p>
      <w:pPr>
        <w:suppressAutoHyphens/>
        <w:spacing w:after="240" w:line="240" w:lineRule="auto"/>
        <w:jc w:val="both"/>
        <w:rPr>
          <w:rFonts w:ascii="Roboto" w:eastAsia="SimSun" w:hAnsi="Roboto" w:cs="Times New Roman"/>
          <w:color w:val="000000"/>
          <w:sz w:val="20"/>
          <w:szCs w:val="20"/>
        </w:rPr>
      </w:pPr>
      <w:r>
        <w:rPr>
          <w:rFonts w:ascii="Roboto" w:hAnsi="Roboto"/>
          <w:color w:val="000000"/>
          <w:sz w:val="20"/>
          <w:szCs w:val="20"/>
        </w:rPr>
        <w:t>Activités de groupe : la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pièces justificatives sont signées par l’organisation d’envoi et l’organisation d’accueil. Pour les activités organisées au siège d’une institution de l’Union européenne, les pièces justificatives doivent être signées par les deux organisations d’envoi.</w:t>
      </w:r>
    </w:p>
    <w:p>
      <w:pPr>
        <w:suppressAutoHyphens/>
        <w:autoSpaceDE w:val="0"/>
        <w:autoSpaceDN w:val="0"/>
        <w:spacing w:after="0" w:line="240" w:lineRule="auto"/>
        <w:jc w:val="both"/>
        <w:rPr>
          <w:rFonts w:ascii="Roboto" w:eastAsia="Calibri" w:hAnsi="Roboto" w:cs="Times New Roman"/>
          <w:sz w:val="20"/>
          <w:szCs w:val="20"/>
        </w:rPr>
      </w:pPr>
      <w:r>
        <w:rPr>
          <w:rFonts w:ascii="Roboto" w:hAnsi="Roboto"/>
          <w:color w:val="000000"/>
          <w:sz w:val="20"/>
          <w:szCs w:val="20"/>
        </w:rPr>
        <w:t xml:space="preserve">Outre les documents justificatifs susmentionnés, en cas de recours à des moyens de transport durables (transport écoresponsable) : une déclaration sur l’honneur, signée par la personne qui reçoit la subvention couvrant les frais de déplacement, servira de pièce justificative. </w:t>
      </w:r>
      <w:r>
        <w:rPr>
          <w:rFonts w:ascii="Roboto" w:hAnsi="Roboto"/>
          <w:sz w:val="20"/>
          <w:szCs w:val="20"/>
        </w:rPr>
        <w:t>Dans le cadre d’activités de groupe, l’organisation d’envoi signera la déclaration concernant le voyage du groupe. Les participants doivent être informés de leur devoir de conserver la preuve de leur voyage (titres de transport) et de la fournir au bénéficiaire, si celui-ci le demande.</w:t>
      </w:r>
    </w:p>
    <w:p>
      <w:pPr>
        <w:suppressAutoHyphens/>
        <w:spacing w:after="0" w:line="240" w:lineRule="auto"/>
        <w:jc w:val="both"/>
        <w:rPr>
          <w:rFonts w:ascii="Roboto" w:eastAsia="SimSun" w:hAnsi="Roboto" w:cs="Times New Roman"/>
          <w:sz w:val="20"/>
          <w:szCs w:val="20"/>
          <w:shd w:val="clear" w:color="auto" w:fill="00FFFF"/>
          <w:lang w:eastAsia="ar-SA"/>
        </w:rPr>
      </w:pPr>
    </w:p>
    <w:p>
      <w:pPr>
        <w:suppressAutoHyphens/>
        <w:spacing w:line="240" w:lineRule="auto"/>
        <w:jc w:val="both"/>
        <w:rPr>
          <w:rFonts w:ascii="Roboto" w:eastAsia="Calibri" w:hAnsi="Roboto" w:cs="Times New Roman"/>
          <w:sz w:val="20"/>
          <w:szCs w:val="20"/>
        </w:rPr>
      </w:pPr>
      <w:r>
        <w:rPr>
          <w:rFonts w:ascii="Roboto" w:hAnsi="Roboto"/>
          <w:sz w:val="20"/>
          <w:szCs w:val="20"/>
        </w:rPr>
        <w:t>Si le point de départ du voyage est différent du lieu d’origine ou si la destination est différente du lieu d’accueil, le bénéficiaire doit fournir la raison de cette différence. Si aucun voyage n’a eu lieu ou si le voyage a été financé par d’autres sources de l’UE que le programme Erasmus+, le bénéficiaire indiquera dans son rapport que le soutien financier pour le voyage n’est pas nécessaire.</w:t>
      </w:r>
    </w:p>
    <w:p>
      <w:pPr>
        <w:pStyle w:val="Titre2"/>
        <w:ind w:left="0" w:firstLine="0"/>
        <w:rPr>
          <w:rFonts w:ascii="Roboto" w:eastAsia="Calibri" w:hAnsi="Roboto"/>
          <w:b w:val="0"/>
          <w:bCs w:val="0"/>
          <w:sz w:val="20"/>
          <w:szCs w:val="20"/>
        </w:rPr>
      </w:pPr>
      <w:r>
        <w:rPr>
          <w:rFonts w:ascii="Roboto" w:hAnsi="Roboto"/>
          <w:sz w:val="20"/>
          <w:szCs w:val="20"/>
        </w:rPr>
        <w:t>1.2 Soutien individuel</w:t>
      </w:r>
    </w:p>
    <w:p>
      <w:pPr>
        <w:pStyle w:val="Paragraphedeliste"/>
        <w:numPr>
          <w:ilvl w:val="0"/>
          <w:numId w:val="26"/>
        </w:numPr>
        <w:tabs>
          <w:tab w:val="left" w:pos="567"/>
        </w:tabs>
        <w:suppressAutoHyphens/>
        <w:spacing w:after="240"/>
        <w:rPr>
          <w:rFonts w:ascii="Roboto" w:eastAsia="Calibri" w:hAnsi="Roboto"/>
          <w:sz w:val="20"/>
          <w:szCs w:val="20"/>
        </w:rPr>
      </w:pPr>
      <w:r>
        <w:rPr>
          <w:rFonts w:ascii="Roboto" w:hAnsi="Roboto"/>
          <w:sz w:val="20"/>
          <w:szCs w:val="20"/>
          <w:u w:val="single"/>
        </w:rPr>
        <w:t>Calcul de la contribution unitaire totale</w:t>
      </w:r>
      <w:r>
        <w:rPr>
          <w:rFonts w:ascii="Roboto" w:hAnsi="Roboto"/>
          <w:sz w:val="20"/>
          <w:szCs w:val="20"/>
        </w:rPr>
        <w:t xml:space="preserve"> </w:t>
      </w:r>
    </w:p>
    <w:p>
      <w:pPr>
        <w:tabs>
          <w:tab w:val="left" w:pos="0"/>
        </w:tabs>
        <w:suppressAutoHyphens/>
        <w:spacing w:after="240" w:line="240" w:lineRule="auto"/>
        <w:jc w:val="both"/>
        <w:rPr>
          <w:rFonts w:ascii="Roboto" w:eastAsia="Calibri" w:hAnsi="Roboto" w:cs="Times New Roman"/>
          <w:sz w:val="20"/>
          <w:szCs w:val="20"/>
        </w:rPr>
      </w:pPr>
      <w:r>
        <w:rPr>
          <w:rFonts w:ascii="Roboto" w:hAnsi="Roboto"/>
          <w:sz w:val="20"/>
          <w:szCs w:val="20"/>
        </w:rPr>
        <w:t>La contribution unitaire totale est calculée en multipliant le nombre de jours par participant et accompagnateur, par la contribution unitaire applicable par jour pour le pays d’accueil concerné, comme spécifié à l’annexe 3 de la convention. Des jours de voyage peuvent être ajoutés si cela s’avère pertinent pour une activité spécifique.</w:t>
      </w:r>
    </w:p>
    <w:p>
      <w:pPr>
        <w:tabs>
          <w:tab w:val="left" w:pos="284"/>
          <w:tab w:val="left" w:pos="993"/>
        </w:tabs>
        <w:suppressAutoHyphens/>
        <w:spacing w:after="200" w:line="240" w:lineRule="auto"/>
        <w:jc w:val="both"/>
        <w:rPr>
          <w:rFonts w:ascii="Roboto" w:eastAsia="Calibri" w:hAnsi="Roboto" w:cs="Times New Roman"/>
          <w:sz w:val="20"/>
          <w:szCs w:val="20"/>
        </w:rPr>
      </w:pPr>
      <w:r>
        <w:rPr>
          <w:rFonts w:ascii="Roboto" w:hAnsi="Roboto"/>
          <w:sz w:val="20"/>
          <w:szCs w:val="20"/>
        </w:rPr>
        <w:t>En cas d’interruption du séjour, la période d’interruption ne sera pas prise en considération dans le calcul de la subvention du soutien individuel. En cas d’interruption pour cause de force majeure, le participant est autorisé à reprendre et à poursuivre les activités après la période d’interruption (dans les conditions établies dans la convention).</w:t>
      </w:r>
    </w:p>
    <w:p>
      <w:pPr>
        <w:tabs>
          <w:tab w:val="left" w:pos="284"/>
          <w:tab w:val="left" w:pos="993"/>
        </w:tabs>
        <w:suppressAutoHyphens/>
        <w:spacing w:after="200" w:line="240" w:lineRule="auto"/>
        <w:jc w:val="both"/>
        <w:rPr>
          <w:rFonts w:ascii="Roboto" w:eastAsia="Calibri" w:hAnsi="Roboto" w:cs="Times New Roman"/>
          <w:sz w:val="20"/>
          <w:szCs w:val="20"/>
        </w:rPr>
      </w:pPr>
      <w:r>
        <w:rPr>
          <w:rFonts w:ascii="Roboto" w:hAnsi="Roboto"/>
          <w:sz w:val="20"/>
          <w:szCs w:val="20"/>
        </w:rPr>
        <w:lastRenderedPageBreak/>
        <w:t>Si, pour une cause de force majeure, le participant met un terme à la convention, il est autorisé à recevoir le montant de la subvention correspondant à la durée effective de la période de mobilité. Tout financement restant doit être remboursé au bénéficiaire, sauf disposition contraire convenue entre les deux parties.</w:t>
      </w:r>
    </w:p>
    <w:p>
      <w:pPr>
        <w:pStyle w:val="Paragraphedeliste"/>
        <w:numPr>
          <w:ilvl w:val="0"/>
          <w:numId w:val="26"/>
        </w:numPr>
        <w:tabs>
          <w:tab w:val="left" w:pos="567"/>
        </w:tabs>
        <w:suppressAutoHyphens/>
        <w:spacing w:after="240"/>
        <w:rPr>
          <w:rFonts w:ascii="Roboto" w:eastAsia="Calibri" w:hAnsi="Roboto"/>
          <w:sz w:val="20"/>
          <w:szCs w:val="20"/>
        </w:rPr>
      </w:pPr>
      <w:r>
        <w:rPr>
          <w:rFonts w:ascii="Roboto" w:hAnsi="Roboto"/>
          <w:sz w:val="20"/>
          <w:szCs w:val="20"/>
          <w:u w:val="single"/>
        </w:rPr>
        <w:t>Événement déclencheur</w:t>
      </w:r>
    </w:p>
    <w:p>
      <w:pPr>
        <w:tabs>
          <w:tab w:val="left" w:pos="567"/>
        </w:tabs>
        <w:suppressAutoHyphens/>
        <w:spacing w:after="240" w:line="240" w:lineRule="auto"/>
        <w:jc w:val="both"/>
        <w:rPr>
          <w:rFonts w:ascii="Roboto" w:eastAsia="Calibri" w:hAnsi="Roboto" w:cs="Times New Roman"/>
          <w:sz w:val="20"/>
          <w:szCs w:val="20"/>
        </w:rPr>
      </w:pPr>
      <w:r>
        <w:rPr>
          <w:rFonts w:ascii="Roboto" w:hAnsi="Roboto"/>
          <w:sz w:val="20"/>
          <w:szCs w:val="20"/>
        </w:rPr>
        <w:t>Le soutien individuel n’est versé que si le participant a effectivement entrepris l’activité pendant la durée indiquée.</w:t>
      </w:r>
    </w:p>
    <w:p>
      <w:pPr>
        <w:numPr>
          <w:ilvl w:val="0"/>
          <w:numId w:val="26"/>
        </w:numPr>
        <w:suppressAutoHyphens/>
        <w:spacing w:after="240" w:line="240" w:lineRule="auto"/>
        <w:ind w:left="567" w:hanging="425"/>
        <w:rPr>
          <w:rFonts w:ascii="Roboto" w:eastAsia="Calibri" w:hAnsi="Roboto" w:cs="Times New Roman"/>
          <w:sz w:val="20"/>
          <w:szCs w:val="20"/>
          <w:u w:val="single"/>
        </w:rPr>
      </w:pPr>
      <w:r>
        <w:rPr>
          <w:rFonts w:ascii="Roboto" w:hAnsi="Roboto"/>
          <w:color w:val="000000"/>
          <w:sz w:val="20"/>
          <w:szCs w:val="20"/>
          <w:u w:val="single"/>
        </w:rPr>
        <w:t>Pièces justificatives</w:t>
      </w:r>
    </w:p>
    <w:p>
      <w:pPr>
        <w:pStyle w:val="Paragraphedeliste"/>
        <w:suppressAutoHyphens/>
        <w:spacing w:after="240"/>
        <w:ind w:left="0"/>
        <w:rPr>
          <w:rFonts w:ascii="Roboto" w:eastAsia="Calibri" w:hAnsi="Roboto"/>
          <w:sz w:val="20"/>
          <w:szCs w:val="20"/>
        </w:rPr>
      </w:pPr>
      <w:r>
        <w:rPr>
          <w:rFonts w:ascii="Roboto" w:hAnsi="Roboto"/>
          <w:sz w:val="20"/>
          <w:szCs w:val="20"/>
        </w:rPr>
        <w:t>Il s’agit des mêmes pièces justificatives que celles requises pour un voyage standard (voir point 1.1.c).</w:t>
      </w:r>
    </w:p>
    <w:p>
      <w:pPr>
        <w:numPr>
          <w:ilvl w:val="0"/>
          <w:numId w:val="26"/>
        </w:numPr>
        <w:suppressAutoHyphens/>
        <w:spacing w:after="240" w:line="240" w:lineRule="auto"/>
        <w:ind w:left="567" w:hanging="425"/>
        <w:rPr>
          <w:rFonts w:ascii="Roboto" w:eastAsia="Calibri" w:hAnsi="Roboto" w:cs="Times New Roman"/>
          <w:color w:val="000000"/>
          <w:sz w:val="20"/>
          <w:szCs w:val="20"/>
          <w:u w:val="single"/>
        </w:rPr>
      </w:pPr>
      <w:r>
        <w:rPr>
          <w:rFonts w:ascii="Roboto" w:hAnsi="Roboto"/>
          <w:color w:val="000000"/>
          <w:sz w:val="20"/>
          <w:szCs w:val="20"/>
          <w:u w:val="single"/>
        </w:rPr>
        <w:t xml:space="preserve">Établissement de rapports </w:t>
      </w:r>
    </w:p>
    <w:p>
      <w:pPr>
        <w:suppressAutoHyphens/>
        <w:spacing w:line="240" w:lineRule="auto"/>
        <w:jc w:val="both"/>
        <w:rPr>
          <w:rFonts w:ascii="Roboto" w:eastAsia="Calibri" w:hAnsi="Roboto" w:cs="Times New Roman"/>
          <w:color w:val="1F497D"/>
          <w:sz w:val="20"/>
          <w:szCs w:val="20"/>
        </w:rPr>
      </w:pPr>
      <w:bookmarkStart w:id="1" w:name="_Hlk116664147"/>
      <w:r>
        <w:rPr>
          <w:rFonts w:ascii="Roboto" w:hAnsi="Roboto"/>
          <w:sz w:val="20"/>
          <w:szCs w:val="20"/>
        </w:rPr>
        <w:t xml:space="preserve">Les participants utilisent le questionnaire standard en ligne fourni par la Commission européenne (le rapport du participant) pour faire état d’informations factuelles ainsi que de leur appréciation de l’activité de mobilité, de la préparation et du suivi de cette dernière. </w:t>
      </w:r>
    </w:p>
    <w:bookmarkEnd w:id="1"/>
    <w:p>
      <w:pPr>
        <w:tabs>
          <w:tab w:val="left" w:pos="993"/>
        </w:tabs>
        <w:suppressAutoHyphens/>
        <w:spacing w:line="240" w:lineRule="auto"/>
        <w:jc w:val="both"/>
        <w:rPr>
          <w:rFonts w:ascii="Roboto" w:eastAsia="Calibri" w:hAnsi="Roboto" w:cs="Times New Roman"/>
          <w:sz w:val="20"/>
          <w:szCs w:val="20"/>
        </w:rPr>
      </w:pPr>
      <w:r>
        <w:rPr>
          <w:rFonts w:ascii="Roboto" w:hAnsi="Roboto"/>
          <w:sz w:val="20"/>
          <w:szCs w:val="20"/>
        </w:rPr>
        <w:t>Il ne sera pas demandé aux experts invités de soumettre un rapport du participant.</w:t>
      </w:r>
    </w:p>
    <w:p>
      <w:pPr>
        <w:tabs>
          <w:tab w:val="left" w:pos="993"/>
        </w:tabs>
        <w:suppressAutoHyphens/>
        <w:spacing w:line="240" w:lineRule="auto"/>
        <w:jc w:val="both"/>
        <w:rPr>
          <w:rFonts w:ascii="Roboto" w:eastAsia="Calibri" w:hAnsi="Roboto" w:cs="Times New Roman"/>
          <w:sz w:val="20"/>
          <w:szCs w:val="20"/>
        </w:rPr>
      </w:pPr>
      <w:r>
        <w:rPr>
          <w:rFonts w:ascii="Roboto" w:hAnsi="Roboto"/>
          <w:sz w:val="20"/>
          <w:szCs w:val="20"/>
        </w:rPr>
        <w:t>Dans le cas d’activités de mobilité de groupe, l’accompagnateur principal remplira les rapports des participants au nom de tout le groupe.</w:t>
      </w:r>
    </w:p>
    <w:p>
      <w:pPr>
        <w:tabs>
          <w:tab w:val="left" w:pos="993"/>
        </w:tabs>
        <w:suppressAutoHyphens/>
        <w:spacing w:line="240" w:lineRule="auto"/>
        <w:jc w:val="both"/>
        <w:rPr>
          <w:rFonts w:ascii="Roboto" w:eastAsia="Calibri" w:hAnsi="Roboto" w:cs="Times New Roman"/>
          <w:sz w:val="20"/>
          <w:szCs w:val="20"/>
        </w:rPr>
      </w:pPr>
      <w:r>
        <w:rPr>
          <w:rFonts w:ascii="Roboto" w:hAnsi="Roboto"/>
          <w:sz w:val="20"/>
          <w:szCs w:val="20"/>
        </w:rPr>
        <w:t>Les participants qui ne soumettent pas leur rapport pourront être tenus de rembourser tout ou partie de la contribution financière reçue d’Erasmus+.</w:t>
      </w:r>
    </w:p>
    <w:p>
      <w:pPr>
        <w:pStyle w:val="Titre2"/>
        <w:rPr>
          <w:rFonts w:ascii="Roboto" w:eastAsia="Calibri" w:hAnsi="Roboto"/>
          <w:sz w:val="20"/>
          <w:szCs w:val="20"/>
        </w:rPr>
      </w:pPr>
      <w:r>
        <w:rPr>
          <w:rFonts w:ascii="Roboto" w:hAnsi="Roboto"/>
          <w:sz w:val="20"/>
          <w:szCs w:val="20"/>
        </w:rPr>
        <w:t>1.3. Soutien organisationnel</w:t>
      </w:r>
    </w:p>
    <w:p>
      <w:pPr>
        <w:pStyle w:val="Paragraphedeliste"/>
        <w:numPr>
          <w:ilvl w:val="0"/>
          <w:numId w:val="27"/>
        </w:numPr>
        <w:suppressAutoHyphens/>
        <w:rPr>
          <w:rFonts w:ascii="Roboto" w:eastAsia="Calibri" w:hAnsi="Roboto"/>
          <w:sz w:val="20"/>
          <w:szCs w:val="20"/>
          <w:u w:val="single"/>
        </w:rPr>
      </w:pPr>
      <w:r>
        <w:rPr>
          <w:rFonts w:ascii="Roboto" w:hAnsi="Roboto"/>
          <w:sz w:val="20"/>
          <w:szCs w:val="20"/>
          <w:u w:val="single"/>
        </w:rPr>
        <w:t>Calcul de la contribution unitaire totale</w:t>
      </w:r>
    </w:p>
    <w:p>
      <w:pPr>
        <w:tabs>
          <w:tab w:val="left" w:pos="993"/>
        </w:tabs>
        <w:suppressAutoHyphens/>
        <w:spacing w:line="240" w:lineRule="auto"/>
        <w:jc w:val="both"/>
        <w:rPr>
          <w:rFonts w:ascii="Roboto" w:eastAsia="Calibri" w:hAnsi="Roboto" w:cs="Times New Roman"/>
          <w:sz w:val="20"/>
          <w:szCs w:val="20"/>
        </w:rPr>
      </w:pPr>
      <w:r>
        <w:rPr>
          <w:rFonts w:ascii="Roboto" w:hAnsi="Roboto"/>
          <w:sz w:val="20"/>
          <w:szCs w:val="20"/>
        </w:rPr>
        <w:t>La contribution unitaire totale est calculée en multipliant le nombre total de participants à des activités de mobilité par la contribution unitaire applicable, comme spécifié à l’annexe 3 de la convention. Les accompagnateurs et les personnes participant à des visites préparatoires ne sont pas considérés comme des participants à des activités de mobilité et ne sont donc pas pris en compte pour le calcul de la subvention au titre du soutien organisationnel.</w:t>
      </w:r>
    </w:p>
    <w:p>
      <w:pPr>
        <w:pStyle w:val="Paragraphedeliste"/>
        <w:numPr>
          <w:ilvl w:val="0"/>
          <w:numId w:val="27"/>
        </w:numPr>
        <w:suppressAutoHyphens/>
        <w:rPr>
          <w:rFonts w:ascii="Roboto" w:eastAsia="SimSun" w:hAnsi="Roboto"/>
          <w:sz w:val="20"/>
          <w:szCs w:val="20"/>
        </w:rPr>
      </w:pPr>
      <w:r>
        <w:rPr>
          <w:rFonts w:ascii="Roboto" w:hAnsi="Roboto"/>
          <w:sz w:val="20"/>
          <w:szCs w:val="20"/>
          <w:u w:val="single"/>
        </w:rPr>
        <w:t>Événement déclencheur</w:t>
      </w:r>
    </w:p>
    <w:p>
      <w:pPr>
        <w:tabs>
          <w:tab w:val="left" w:pos="567"/>
        </w:tabs>
        <w:suppressAutoHyphens/>
        <w:spacing w:after="200" w:line="240" w:lineRule="auto"/>
        <w:jc w:val="both"/>
        <w:rPr>
          <w:rFonts w:ascii="Roboto" w:eastAsia="SimSun" w:hAnsi="Roboto" w:cs="Times New Roman"/>
          <w:sz w:val="20"/>
          <w:szCs w:val="20"/>
        </w:rPr>
      </w:pPr>
      <w:r>
        <w:rPr>
          <w:rFonts w:ascii="Roboto" w:hAnsi="Roboto"/>
          <w:sz w:val="20"/>
          <w:szCs w:val="20"/>
        </w:rPr>
        <w:t xml:space="preserve">Le soutien organisationnel n’est versé que si le participant a effectivement entrepris l’activité. </w:t>
      </w:r>
    </w:p>
    <w:p>
      <w:pPr>
        <w:numPr>
          <w:ilvl w:val="0"/>
          <w:numId w:val="27"/>
        </w:numPr>
        <w:suppressAutoHyphens/>
        <w:spacing w:after="200" w:line="240" w:lineRule="auto"/>
        <w:rPr>
          <w:rFonts w:ascii="Roboto" w:eastAsia="SimSun" w:hAnsi="Roboto" w:cs="Times New Roman"/>
          <w:sz w:val="20"/>
          <w:szCs w:val="20"/>
          <w:u w:val="single"/>
        </w:rPr>
      </w:pPr>
      <w:r>
        <w:rPr>
          <w:rFonts w:ascii="Roboto" w:hAnsi="Roboto"/>
          <w:sz w:val="20"/>
          <w:szCs w:val="20"/>
          <w:u w:val="single"/>
        </w:rPr>
        <w:t xml:space="preserve">Pièces justificatives </w:t>
      </w:r>
    </w:p>
    <w:p>
      <w:pPr>
        <w:suppressAutoHyphens/>
        <w:spacing w:after="200" w:line="240" w:lineRule="auto"/>
        <w:jc w:val="both"/>
        <w:rPr>
          <w:rFonts w:ascii="Roboto" w:eastAsia="Calibri" w:hAnsi="Roboto" w:cs="Times New Roman"/>
          <w:sz w:val="20"/>
          <w:szCs w:val="20"/>
        </w:rPr>
      </w:pPr>
      <w:r>
        <w:rPr>
          <w:rFonts w:ascii="Roboto" w:hAnsi="Roboto"/>
          <w:sz w:val="20"/>
          <w:szCs w:val="20"/>
        </w:rPr>
        <w:t>Il s’agit des mêmes pièces justificatives que celles requises pour la contribution aux frais de voyage (voir point 1.1.c)]</w:t>
      </w:r>
    </w:p>
    <w:p>
      <w:pPr>
        <w:pStyle w:val="Paragraphedeliste"/>
        <w:numPr>
          <w:ilvl w:val="0"/>
          <w:numId w:val="27"/>
        </w:numPr>
        <w:suppressAutoHyphens/>
        <w:rPr>
          <w:rFonts w:ascii="Roboto" w:eastAsia="Calibri" w:hAnsi="Roboto"/>
          <w:sz w:val="20"/>
          <w:szCs w:val="20"/>
        </w:rPr>
      </w:pPr>
      <w:r>
        <w:rPr>
          <w:rFonts w:ascii="Roboto" w:hAnsi="Roboto"/>
          <w:sz w:val="20"/>
          <w:szCs w:val="20"/>
          <w:u w:val="single"/>
        </w:rPr>
        <w:t>Établissement de rapports</w:t>
      </w:r>
    </w:p>
    <w:p>
      <w:pPr>
        <w:suppressAutoHyphens/>
        <w:spacing w:line="240" w:lineRule="auto"/>
        <w:rPr>
          <w:rFonts w:ascii="Roboto" w:eastAsia="Calibri" w:hAnsi="Roboto" w:cs="Times New Roman"/>
          <w:sz w:val="20"/>
          <w:szCs w:val="20"/>
        </w:rPr>
      </w:pPr>
      <w:r>
        <w:rPr>
          <w:rFonts w:ascii="Roboto" w:hAnsi="Roboto"/>
          <w:sz w:val="20"/>
          <w:szCs w:val="20"/>
        </w:rPr>
        <w:t>Le bénéficiaire fait rapport du nombre réel de participants aux activités de mobilité.</w:t>
      </w:r>
    </w:p>
    <w:p>
      <w:pPr>
        <w:pStyle w:val="Titre2"/>
        <w:ind w:left="0" w:firstLine="0"/>
        <w:rPr>
          <w:rFonts w:ascii="Roboto" w:hAnsi="Roboto"/>
          <w:sz w:val="20"/>
          <w:szCs w:val="20"/>
        </w:rPr>
      </w:pPr>
      <w:r>
        <w:rPr>
          <w:rFonts w:ascii="Roboto" w:hAnsi="Roboto"/>
          <w:sz w:val="20"/>
          <w:szCs w:val="20"/>
        </w:rPr>
        <w:lastRenderedPageBreak/>
        <w:t>1.4 à 1.6 : Non applicable</w:t>
      </w:r>
    </w:p>
    <w:p>
      <w:pPr>
        <w:pStyle w:val="Titre2"/>
        <w:ind w:left="0" w:firstLine="0"/>
        <w:rPr>
          <w:rFonts w:ascii="Roboto" w:hAnsi="Roboto"/>
          <w:sz w:val="20"/>
          <w:szCs w:val="20"/>
        </w:rPr>
      </w:pPr>
      <w:r>
        <w:rPr>
          <w:rFonts w:ascii="Roboto" w:hAnsi="Roboto"/>
          <w:sz w:val="20"/>
          <w:szCs w:val="20"/>
        </w:rPr>
        <w:t>1.7 Soutien pour l’inclusion des organisations</w:t>
      </w:r>
    </w:p>
    <w:p>
      <w:pPr>
        <w:pStyle w:val="Paragraphedeliste"/>
        <w:numPr>
          <w:ilvl w:val="0"/>
          <w:numId w:val="29"/>
        </w:numPr>
        <w:suppressAutoHyphens/>
        <w:spacing w:after="0"/>
        <w:ind w:left="851" w:hanging="425"/>
        <w:rPr>
          <w:rFonts w:ascii="Roboto" w:eastAsia="SimSun" w:hAnsi="Roboto"/>
          <w:sz w:val="20"/>
          <w:szCs w:val="20"/>
          <w:u w:val="single"/>
        </w:rPr>
      </w:pPr>
      <w:r>
        <w:rPr>
          <w:rFonts w:ascii="Roboto" w:hAnsi="Roboto"/>
          <w:sz w:val="20"/>
          <w:szCs w:val="20"/>
          <w:u w:val="single"/>
        </w:rPr>
        <w:t xml:space="preserve">Calcul de la contribution unitaire totale </w:t>
      </w:r>
    </w:p>
    <w:p>
      <w:pPr>
        <w:suppressAutoHyphens/>
        <w:spacing w:after="0" w:line="240" w:lineRule="auto"/>
        <w:rPr>
          <w:rFonts w:ascii="Roboto" w:eastAsia="SimSun" w:hAnsi="Roboto"/>
          <w:sz w:val="20"/>
          <w:szCs w:val="20"/>
          <w:lang w:eastAsia="ar-SA"/>
        </w:rPr>
      </w:pPr>
    </w:p>
    <w:p>
      <w:pPr>
        <w:suppressAutoHyphens/>
        <w:spacing w:after="0" w:line="240" w:lineRule="auto"/>
        <w:jc w:val="both"/>
        <w:rPr>
          <w:rFonts w:ascii="Roboto" w:eastAsia="SimSun" w:hAnsi="Roboto" w:cs="Times New Roman"/>
          <w:sz w:val="20"/>
          <w:szCs w:val="20"/>
          <w:highlight w:val="yellow"/>
        </w:rPr>
      </w:pPr>
      <w:r>
        <w:rPr>
          <w:rFonts w:ascii="Roboto" w:hAnsi="Roboto"/>
          <w:sz w:val="20"/>
          <w:szCs w:val="20"/>
        </w:rPr>
        <w:t xml:space="preserve">La contribution unitaire totale est calculée en multipliant le nombre total de participants moins favorisés à des activités de mobilité par la contribution unitaire applicable, comme spécifié à l’annexe 3 de la convention. </w:t>
      </w:r>
    </w:p>
    <w:p>
      <w:pPr>
        <w:suppressAutoHyphens/>
        <w:spacing w:after="0" w:line="240" w:lineRule="auto"/>
        <w:rPr>
          <w:rFonts w:ascii="Roboto" w:eastAsia="Calibri" w:hAnsi="Roboto" w:cs="Times New Roman"/>
          <w:sz w:val="20"/>
          <w:szCs w:val="20"/>
          <w:lang w:eastAsia="ar-SA"/>
        </w:rPr>
      </w:pPr>
    </w:p>
    <w:p>
      <w:pPr>
        <w:pStyle w:val="Paragraphedeliste"/>
        <w:numPr>
          <w:ilvl w:val="0"/>
          <w:numId w:val="29"/>
        </w:numPr>
        <w:suppressAutoHyphens/>
        <w:ind w:left="709"/>
        <w:rPr>
          <w:rFonts w:ascii="Roboto" w:eastAsia="SimSun" w:hAnsi="Roboto"/>
          <w:sz w:val="20"/>
          <w:szCs w:val="20"/>
          <w:u w:val="single"/>
        </w:rPr>
      </w:pPr>
      <w:r>
        <w:rPr>
          <w:rFonts w:ascii="Roboto" w:hAnsi="Roboto"/>
          <w:sz w:val="20"/>
          <w:szCs w:val="20"/>
          <w:u w:val="single"/>
        </w:rPr>
        <w:t>Événement déclencheur</w:t>
      </w:r>
    </w:p>
    <w:p>
      <w:pPr>
        <w:tabs>
          <w:tab w:val="left" w:pos="567"/>
        </w:tabs>
        <w:suppressAutoHyphens/>
        <w:spacing w:after="240" w:line="240" w:lineRule="auto"/>
        <w:jc w:val="both"/>
        <w:rPr>
          <w:rFonts w:ascii="Roboto" w:eastAsia="SimSun" w:hAnsi="Roboto" w:cs="Times New Roman"/>
          <w:sz w:val="20"/>
          <w:szCs w:val="20"/>
        </w:rPr>
      </w:pPr>
      <w:r>
        <w:rPr>
          <w:rFonts w:ascii="Roboto" w:hAnsi="Roboto"/>
          <w:sz w:val="20"/>
          <w:szCs w:val="20"/>
        </w:rPr>
        <w:t>Le soutien pour l’inclusion des organisations n’est versé que si le participant a effectivement entrepris l’activité.</w:t>
      </w:r>
    </w:p>
    <w:p>
      <w:pPr>
        <w:numPr>
          <w:ilvl w:val="0"/>
          <w:numId w:val="29"/>
        </w:numPr>
        <w:suppressAutoHyphens/>
        <w:spacing w:after="120" w:line="240" w:lineRule="auto"/>
        <w:ind w:left="709" w:hanging="425"/>
        <w:jc w:val="both"/>
        <w:rPr>
          <w:rFonts w:ascii="Roboto" w:eastAsia="SimSun" w:hAnsi="Roboto" w:cs="Times New Roman"/>
          <w:sz w:val="20"/>
          <w:szCs w:val="20"/>
          <w:u w:val="single"/>
        </w:rPr>
      </w:pPr>
      <w:r>
        <w:rPr>
          <w:rFonts w:ascii="Roboto" w:hAnsi="Roboto"/>
          <w:sz w:val="20"/>
          <w:szCs w:val="20"/>
          <w:u w:val="single"/>
        </w:rPr>
        <w:t>Pièces justificatives</w:t>
      </w:r>
    </w:p>
    <w:p>
      <w:pPr>
        <w:suppressAutoHyphens/>
        <w:spacing w:after="240" w:line="240" w:lineRule="auto"/>
        <w:jc w:val="both"/>
        <w:rPr>
          <w:rFonts w:ascii="Roboto" w:eastAsia="Calibri" w:hAnsi="Roboto" w:cs="Times New Roman"/>
          <w:sz w:val="20"/>
          <w:szCs w:val="20"/>
        </w:rPr>
      </w:pPr>
      <w:r>
        <w:rPr>
          <w:rFonts w:ascii="Roboto" w:hAnsi="Roboto"/>
          <w:sz w:val="20"/>
          <w:szCs w:val="20"/>
        </w:rPr>
        <w:t>Il s’agit des mêmes pièces justificatives que celles requises pour la contribution aux frais de voyage (voir point 1.1.c).</w:t>
      </w:r>
    </w:p>
    <w:p>
      <w:pPr>
        <w:suppressAutoHyphens/>
        <w:spacing w:after="240" w:line="240" w:lineRule="auto"/>
        <w:jc w:val="both"/>
        <w:rPr>
          <w:rFonts w:ascii="Roboto" w:eastAsia="Calibri" w:hAnsi="Roboto" w:cs="Times New Roman"/>
          <w:b/>
          <w:sz w:val="20"/>
          <w:szCs w:val="20"/>
          <w:shd w:val="clear" w:color="auto" w:fill="00FFFF"/>
        </w:rPr>
      </w:pPr>
      <w:r>
        <w:rPr>
          <w:rFonts w:ascii="Roboto" w:hAnsi="Roboto"/>
          <w:color w:val="000000"/>
          <w:sz w:val="20"/>
          <w:szCs w:val="20"/>
        </w:rPr>
        <w:t>En outre, les documents spécifiés par l’agence nationale comme preuve admissible que le participant appartient à l’une des catégories de participants moins favorisés mentionnées dans le guide du programme.</w:t>
      </w:r>
    </w:p>
    <w:p>
      <w:pPr>
        <w:pStyle w:val="Titre2"/>
        <w:ind w:left="0" w:firstLine="0"/>
        <w:rPr>
          <w:rFonts w:ascii="Roboto" w:eastAsia="Calibri" w:hAnsi="Roboto" w:cs="Times New Roman"/>
          <w:sz w:val="20"/>
          <w:szCs w:val="20"/>
        </w:rPr>
      </w:pPr>
      <w:r>
        <w:rPr>
          <w:rFonts w:ascii="Roboto" w:hAnsi="Roboto"/>
          <w:sz w:val="20"/>
          <w:szCs w:val="20"/>
        </w:rPr>
        <w:t xml:space="preserve">1.8 Soutien linguistique </w:t>
      </w:r>
    </w:p>
    <w:p>
      <w:pPr>
        <w:pStyle w:val="Paragraphedeliste"/>
        <w:numPr>
          <w:ilvl w:val="0"/>
          <w:numId w:val="17"/>
        </w:numPr>
        <w:suppressAutoHyphens/>
        <w:rPr>
          <w:rFonts w:ascii="Roboto" w:eastAsia="Calibri" w:hAnsi="Roboto"/>
          <w:sz w:val="20"/>
          <w:szCs w:val="20"/>
          <w:u w:val="single"/>
        </w:rPr>
      </w:pPr>
      <w:r>
        <w:rPr>
          <w:rFonts w:ascii="Roboto" w:hAnsi="Roboto"/>
          <w:sz w:val="20"/>
          <w:szCs w:val="20"/>
          <w:u w:val="single"/>
        </w:rPr>
        <w:t>Calcul de la contribution unitaire totale</w:t>
      </w:r>
    </w:p>
    <w:p>
      <w:pPr>
        <w:suppressAutoHyphens/>
        <w:spacing w:line="240" w:lineRule="auto"/>
        <w:jc w:val="both"/>
        <w:rPr>
          <w:rFonts w:ascii="Roboto" w:eastAsia="Calibri" w:hAnsi="Roboto" w:cs="Times New Roman"/>
          <w:sz w:val="20"/>
          <w:szCs w:val="20"/>
        </w:rPr>
      </w:pPr>
      <w:r>
        <w:rPr>
          <w:rFonts w:ascii="Roboto" w:hAnsi="Roboto"/>
          <w:sz w:val="20"/>
          <w:szCs w:val="20"/>
        </w:rPr>
        <w:t>La contribution unitaire totale est calculée en multipliant le nombre total de participants bénéficiant d’un soutien linguistique par la contribution unitaire, comme spécifié à l’annexe 3 de la convention. Les participants qui ont bénéficié du soutien linguistique en ligne ne seront pas pris en considération dans ce calcul. Les apprenants participant à une activité de mobilité de longue durée bénéficieront d’un soutien linguistique supplémentaire équivalent à la même contribution unitaire, comme spécifié à l’annexe 3 de la convention.</w:t>
      </w:r>
    </w:p>
    <w:p>
      <w:pPr>
        <w:numPr>
          <w:ilvl w:val="0"/>
          <w:numId w:val="17"/>
        </w:numPr>
        <w:suppressAutoHyphens/>
        <w:spacing w:after="200" w:line="240" w:lineRule="auto"/>
        <w:ind w:left="714" w:hanging="357"/>
        <w:jc w:val="both"/>
        <w:rPr>
          <w:rFonts w:ascii="Roboto" w:eastAsia="Calibri" w:hAnsi="Roboto" w:cs="Times New Roman"/>
          <w:sz w:val="20"/>
          <w:szCs w:val="20"/>
          <w:u w:val="single"/>
        </w:rPr>
      </w:pPr>
      <w:r>
        <w:rPr>
          <w:rFonts w:ascii="Roboto" w:hAnsi="Roboto"/>
          <w:sz w:val="20"/>
          <w:szCs w:val="20"/>
          <w:u w:val="single"/>
        </w:rPr>
        <w:t xml:space="preserve">Événement déclencheur </w:t>
      </w:r>
    </w:p>
    <w:p>
      <w:pPr>
        <w:suppressAutoHyphens/>
        <w:spacing w:after="200" w:line="240" w:lineRule="auto"/>
        <w:jc w:val="both"/>
        <w:rPr>
          <w:rFonts w:ascii="Roboto" w:eastAsia="Calibri" w:hAnsi="Roboto" w:cs="Times New Roman"/>
          <w:sz w:val="20"/>
          <w:szCs w:val="20"/>
        </w:rPr>
      </w:pPr>
      <w:r>
        <w:rPr>
          <w:rFonts w:ascii="Roboto" w:hAnsi="Roboto"/>
          <w:sz w:val="20"/>
          <w:szCs w:val="20"/>
        </w:rPr>
        <w:t>La contribution unitaire n’est versée que si le participant a effectivement entrepris une préparation linguistique dans la langue d’enseignement ou de travail.</w:t>
      </w:r>
    </w:p>
    <w:p>
      <w:pPr>
        <w:numPr>
          <w:ilvl w:val="0"/>
          <w:numId w:val="17"/>
        </w:numPr>
        <w:suppressAutoHyphens/>
        <w:spacing w:after="200" w:line="240" w:lineRule="auto"/>
        <w:ind w:left="714" w:hanging="357"/>
        <w:jc w:val="both"/>
        <w:rPr>
          <w:rFonts w:ascii="Roboto" w:eastAsia="Calibri" w:hAnsi="Roboto" w:cs="Times New Roman"/>
          <w:sz w:val="20"/>
          <w:szCs w:val="20"/>
          <w:u w:val="single"/>
        </w:rPr>
      </w:pPr>
      <w:r>
        <w:rPr>
          <w:rFonts w:ascii="Roboto" w:hAnsi="Roboto"/>
          <w:sz w:val="20"/>
          <w:szCs w:val="20"/>
          <w:u w:val="single"/>
        </w:rPr>
        <w:t xml:space="preserve">Pièces justificatives </w:t>
      </w:r>
    </w:p>
    <w:p>
      <w:pPr>
        <w:suppressAutoHyphens/>
        <w:spacing w:after="200" w:line="240" w:lineRule="auto"/>
        <w:jc w:val="both"/>
        <w:rPr>
          <w:rFonts w:ascii="Roboto" w:hAnsi="Roboto"/>
          <w:sz w:val="20"/>
          <w:szCs w:val="20"/>
        </w:rPr>
      </w:pPr>
      <w:r>
        <w:rPr>
          <w:rFonts w:ascii="Roboto" w:hAnsi="Roboto"/>
          <w:sz w:val="20"/>
          <w:szCs w:val="20"/>
        </w:rPr>
        <w:t>La preuve de la présence aux cours de langue, sous la forme d’une déclaration ou d’un certificat signés par l’organisateur du cours, précisant le nom du participant, la langue enseignée, la forme et la durée des cours dispensés, ou, si le cours de langue est dispensé par l’organisation d’envoi ou d’accueil: une déclaration signée et datée par l’organisation dispensant le cours, précisant le nom du participant, la langue enseignée, la forme et la durée du cours de langue dispensé.</w:t>
      </w:r>
    </w:p>
    <w:p>
      <w:pPr>
        <w:pStyle w:val="Titre2"/>
        <w:ind w:left="0" w:firstLine="0"/>
        <w:rPr>
          <w:rFonts w:ascii="Roboto" w:eastAsia="Calibri" w:hAnsi="Roboto" w:cs="Times New Roman"/>
          <w:sz w:val="20"/>
          <w:szCs w:val="20"/>
          <w:u w:val="single"/>
        </w:rPr>
      </w:pPr>
      <w:r>
        <w:rPr>
          <w:rFonts w:ascii="Roboto" w:hAnsi="Roboto"/>
          <w:sz w:val="20"/>
          <w:szCs w:val="20"/>
        </w:rPr>
        <w:t>1.9 Frais d’inscription</w:t>
      </w:r>
    </w:p>
    <w:p>
      <w:pPr>
        <w:pStyle w:val="Paragraphedeliste"/>
        <w:numPr>
          <w:ilvl w:val="0"/>
          <w:numId w:val="30"/>
        </w:numPr>
        <w:suppressAutoHyphens/>
        <w:rPr>
          <w:rFonts w:ascii="Roboto" w:eastAsia="Calibri" w:hAnsi="Roboto"/>
          <w:sz w:val="20"/>
          <w:szCs w:val="20"/>
          <w:u w:val="single"/>
        </w:rPr>
      </w:pPr>
      <w:r>
        <w:rPr>
          <w:rFonts w:ascii="Roboto" w:hAnsi="Roboto"/>
          <w:sz w:val="20"/>
          <w:szCs w:val="20"/>
          <w:u w:val="single"/>
        </w:rPr>
        <w:t>Calcul de la contribution unitaire totale</w:t>
      </w:r>
    </w:p>
    <w:p>
      <w:pPr>
        <w:suppressAutoHyphens/>
        <w:spacing w:after="200" w:line="240" w:lineRule="auto"/>
        <w:jc w:val="both"/>
        <w:rPr>
          <w:rFonts w:ascii="Roboto" w:eastAsia="Calibri" w:hAnsi="Roboto" w:cs="Times New Roman"/>
          <w:sz w:val="20"/>
          <w:szCs w:val="20"/>
        </w:rPr>
      </w:pPr>
      <w:r>
        <w:rPr>
          <w:rFonts w:ascii="Roboto" w:hAnsi="Roboto"/>
          <w:sz w:val="20"/>
          <w:szCs w:val="20"/>
        </w:rPr>
        <w:lastRenderedPageBreak/>
        <w:t>La contribution unitaire totale est calculée en multipliant le nombre total de jours par cours ou formation par la contribution unitaire applicable, comme spécifié à l’annexe 3 de la convention. Seuls les jours où une activité d’apprentissage a effectivement lieu sont pris en considération pour le calcul de la subvention couvrant les frais d’inscription.</w:t>
      </w:r>
    </w:p>
    <w:p>
      <w:pPr>
        <w:pStyle w:val="Paragraphedeliste"/>
        <w:numPr>
          <w:ilvl w:val="0"/>
          <w:numId w:val="30"/>
        </w:numPr>
        <w:suppressAutoHyphens/>
        <w:rPr>
          <w:rFonts w:ascii="Roboto" w:eastAsia="Calibri" w:hAnsi="Roboto"/>
          <w:sz w:val="20"/>
          <w:szCs w:val="20"/>
          <w:u w:val="single"/>
        </w:rPr>
      </w:pPr>
      <w:r>
        <w:rPr>
          <w:rFonts w:ascii="Roboto" w:hAnsi="Roboto"/>
          <w:sz w:val="20"/>
          <w:szCs w:val="20"/>
          <w:u w:val="single"/>
        </w:rPr>
        <w:t xml:space="preserve">Événement déclencheur </w:t>
      </w:r>
    </w:p>
    <w:p>
      <w:pPr>
        <w:suppressAutoHyphens/>
        <w:spacing w:line="240" w:lineRule="auto"/>
        <w:jc w:val="both"/>
        <w:rPr>
          <w:rFonts w:ascii="Roboto" w:eastAsia="Calibri" w:hAnsi="Roboto"/>
          <w:sz w:val="20"/>
          <w:szCs w:val="20"/>
        </w:rPr>
      </w:pPr>
      <w:r>
        <w:rPr>
          <w:rFonts w:ascii="Roboto" w:hAnsi="Roboto"/>
          <w:sz w:val="20"/>
          <w:szCs w:val="20"/>
        </w:rPr>
        <w:t>La contribution unitaire pour les frais d’inscription n’est versée que si le participant a effectivement suivi un cours ou une formation faisant l’objet de frais d’inscription.</w:t>
      </w:r>
    </w:p>
    <w:p>
      <w:pPr>
        <w:numPr>
          <w:ilvl w:val="0"/>
          <w:numId w:val="30"/>
        </w:numPr>
        <w:suppressAutoHyphens/>
        <w:spacing w:after="200" w:line="240" w:lineRule="auto"/>
        <w:jc w:val="both"/>
        <w:rPr>
          <w:rFonts w:ascii="Roboto" w:eastAsia="Calibri" w:hAnsi="Roboto" w:cs="Times New Roman"/>
          <w:b/>
          <w:bCs/>
          <w:sz w:val="20"/>
          <w:szCs w:val="20"/>
          <w:u w:val="single"/>
        </w:rPr>
      </w:pPr>
      <w:r>
        <w:rPr>
          <w:rFonts w:ascii="Roboto" w:hAnsi="Roboto"/>
          <w:sz w:val="20"/>
          <w:szCs w:val="20"/>
          <w:u w:val="single"/>
        </w:rPr>
        <w:t xml:space="preserve">Pièces justificatives </w:t>
      </w:r>
    </w:p>
    <w:p>
      <w:pPr>
        <w:suppressAutoHyphens/>
        <w:spacing w:after="200" w:line="240" w:lineRule="auto"/>
        <w:jc w:val="both"/>
        <w:rPr>
          <w:rFonts w:ascii="Roboto" w:eastAsia="Calibri" w:hAnsi="Roboto" w:cs="Times New Roman"/>
          <w:b/>
          <w:bCs/>
          <w:sz w:val="20"/>
          <w:szCs w:val="20"/>
        </w:rPr>
      </w:pPr>
      <w:r>
        <w:rPr>
          <w:rFonts w:ascii="Roboto" w:hAnsi="Roboto"/>
          <w:sz w:val="20"/>
          <w:szCs w:val="20"/>
        </w:rPr>
        <w:t>La preuve de l’inscription au cours ou à la formation et du paiement de frais d’inscription sous la forme d’une facture ou d’une autre déclaration émise et signée par l’organisateur du cours ou de la formation, précisant le nom du participant, l’intitulé du cours ou de la formation, ainsi que les dates de début et de fin de la participation.</w:t>
      </w:r>
    </w:p>
    <w:p>
      <w:pPr>
        <w:pStyle w:val="Titre2"/>
        <w:ind w:left="0" w:firstLine="0"/>
        <w:rPr>
          <w:rFonts w:ascii="Roboto" w:eastAsia="Calibri" w:hAnsi="Roboto" w:cs="Times New Roman"/>
          <w:b w:val="0"/>
          <w:bCs w:val="0"/>
          <w:sz w:val="20"/>
          <w:szCs w:val="20"/>
        </w:rPr>
      </w:pPr>
      <w:r>
        <w:rPr>
          <w:rFonts w:ascii="Roboto" w:hAnsi="Roboto"/>
          <w:sz w:val="20"/>
          <w:szCs w:val="20"/>
        </w:rPr>
        <w:t>1.10 Visites préparatoires</w:t>
      </w:r>
    </w:p>
    <w:p>
      <w:pPr>
        <w:pStyle w:val="Paragraphedeliste"/>
        <w:numPr>
          <w:ilvl w:val="0"/>
          <w:numId w:val="31"/>
        </w:numPr>
        <w:suppressAutoHyphens/>
        <w:rPr>
          <w:rFonts w:ascii="Roboto" w:eastAsia="SimSun" w:hAnsi="Roboto"/>
          <w:sz w:val="20"/>
          <w:szCs w:val="20"/>
          <w:u w:val="single"/>
        </w:rPr>
      </w:pPr>
      <w:r>
        <w:rPr>
          <w:rFonts w:ascii="Roboto" w:hAnsi="Roboto"/>
          <w:sz w:val="20"/>
          <w:szCs w:val="20"/>
          <w:u w:val="single"/>
        </w:rPr>
        <w:t>Calcul de la contribution unitaire totale</w:t>
      </w:r>
    </w:p>
    <w:p>
      <w:pPr>
        <w:suppressAutoHyphens/>
        <w:spacing w:after="0" w:line="240" w:lineRule="auto"/>
        <w:jc w:val="both"/>
        <w:rPr>
          <w:rFonts w:ascii="Roboto" w:eastAsia="SimSun" w:hAnsi="Roboto" w:cs="Times New Roman"/>
          <w:sz w:val="20"/>
          <w:szCs w:val="20"/>
        </w:rPr>
      </w:pPr>
      <w:r>
        <w:rPr>
          <w:rFonts w:ascii="Roboto" w:hAnsi="Roboto"/>
          <w:sz w:val="20"/>
          <w:szCs w:val="20"/>
        </w:rPr>
        <w:t xml:space="preserve">La contribution unitaire totale est calculée en multipliant le nombre total de personnes participant à des visites préparatoires par la contribution unitaire applicable, comme spécifié à l’annexe 3 de la convention. </w:t>
      </w:r>
    </w:p>
    <w:p>
      <w:pPr>
        <w:suppressAutoHyphens/>
        <w:spacing w:after="0" w:line="240" w:lineRule="auto"/>
        <w:rPr>
          <w:rFonts w:ascii="Roboto" w:eastAsia="Calibri" w:hAnsi="Roboto" w:cs="Times New Roman"/>
          <w:sz w:val="20"/>
          <w:szCs w:val="20"/>
          <w:lang w:eastAsia="ar-SA"/>
        </w:rPr>
      </w:pPr>
    </w:p>
    <w:p>
      <w:pPr>
        <w:pStyle w:val="Paragraphedeliste"/>
        <w:numPr>
          <w:ilvl w:val="0"/>
          <w:numId w:val="31"/>
        </w:numPr>
        <w:suppressAutoHyphens/>
        <w:rPr>
          <w:rFonts w:ascii="Roboto" w:eastAsia="SimSun" w:hAnsi="Roboto"/>
          <w:sz w:val="20"/>
          <w:szCs w:val="20"/>
          <w:shd w:val="clear" w:color="auto" w:fill="00FFFF"/>
        </w:rPr>
      </w:pPr>
      <w:r>
        <w:rPr>
          <w:rFonts w:ascii="Roboto" w:hAnsi="Roboto"/>
          <w:sz w:val="20"/>
          <w:szCs w:val="20"/>
          <w:u w:val="single"/>
        </w:rPr>
        <w:t>Événement déclencheur</w:t>
      </w:r>
      <w:r>
        <w:rPr>
          <w:rFonts w:ascii="Roboto" w:hAnsi="Roboto"/>
          <w:sz w:val="20"/>
          <w:szCs w:val="20"/>
        </w:rPr>
        <w:t xml:space="preserve"> </w:t>
      </w:r>
    </w:p>
    <w:p>
      <w:pPr>
        <w:suppressAutoHyphens/>
        <w:spacing w:line="240" w:lineRule="auto"/>
        <w:jc w:val="both"/>
        <w:rPr>
          <w:rFonts w:ascii="Roboto" w:eastAsia="SimSun" w:hAnsi="Roboto" w:cs="Times New Roman"/>
          <w:sz w:val="20"/>
          <w:szCs w:val="20"/>
          <w:shd w:val="clear" w:color="auto" w:fill="00FFFF"/>
        </w:rPr>
      </w:pPr>
      <w:r>
        <w:rPr>
          <w:rFonts w:ascii="Roboto" w:hAnsi="Roboto"/>
          <w:sz w:val="20"/>
          <w:szCs w:val="20"/>
        </w:rPr>
        <w:t>La contribution unitaire pour une visite préparatoire n’est versée que si le participant a effectivement effectué la visite préparatoire.</w:t>
      </w:r>
    </w:p>
    <w:p>
      <w:pPr>
        <w:numPr>
          <w:ilvl w:val="0"/>
          <w:numId w:val="31"/>
        </w:numPr>
        <w:suppressAutoHyphens/>
        <w:spacing w:after="200" w:line="240" w:lineRule="auto"/>
        <w:jc w:val="both"/>
        <w:rPr>
          <w:rFonts w:ascii="Roboto" w:eastAsia="SimSun" w:hAnsi="Roboto" w:cs="Times New Roman"/>
          <w:sz w:val="20"/>
          <w:szCs w:val="20"/>
        </w:rPr>
      </w:pPr>
      <w:r>
        <w:rPr>
          <w:rFonts w:ascii="Roboto" w:hAnsi="Roboto"/>
          <w:sz w:val="20"/>
          <w:szCs w:val="20"/>
          <w:u w:val="single"/>
        </w:rPr>
        <w:t>Pièces justificatives</w:t>
      </w:r>
    </w:p>
    <w:p>
      <w:pPr>
        <w:suppressAutoHyphens/>
        <w:spacing w:after="0" w:line="240" w:lineRule="auto"/>
        <w:jc w:val="both"/>
        <w:rPr>
          <w:rFonts w:ascii="Roboto" w:eastAsia="SimSun" w:hAnsi="Roboto" w:cs="Times New Roman"/>
          <w:sz w:val="20"/>
          <w:szCs w:val="20"/>
        </w:rPr>
      </w:pPr>
      <w:r>
        <w:rPr>
          <w:rFonts w:ascii="Roboto" w:hAnsi="Roboto"/>
          <w:color w:val="000000"/>
          <w:sz w:val="20"/>
          <w:szCs w:val="20"/>
        </w:rPr>
        <w:t xml:space="preserve">La preuve de la présence à la visite préparatoire, sous la forme d’un programme complet, précisant le nom des personnes participant à la visite, et portant leur signature ainsi que celle de l’organisation d’accueil. </w:t>
      </w:r>
    </w:p>
    <w:p>
      <w:pPr>
        <w:pStyle w:val="Titre1"/>
        <w:numPr>
          <w:ilvl w:val="0"/>
          <w:numId w:val="36"/>
        </w:numPr>
        <w:rPr>
          <w:rFonts w:ascii="Roboto" w:eastAsia="Calibri" w:hAnsi="Roboto"/>
          <w:sz w:val="20"/>
          <w:szCs w:val="20"/>
        </w:rPr>
      </w:pPr>
      <w:r>
        <w:rPr>
          <w:rFonts w:ascii="Roboto" w:hAnsi="Roboto"/>
          <w:sz w:val="20"/>
          <w:szCs w:val="20"/>
        </w:rPr>
        <w:t>Coûts réels</w:t>
      </w:r>
    </w:p>
    <w:p>
      <w:pPr>
        <w:pStyle w:val="Titre2"/>
        <w:rPr>
          <w:rFonts w:ascii="Roboto" w:eastAsia="Calibri" w:hAnsi="Roboto" w:cs="Times New Roman"/>
          <w:sz w:val="20"/>
          <w:szCs w:val="20"/>
          <w:u w:val="single"/>
        </w:rPr>
      </w:pPr>
      <w:r>
        <w:rPr>
          <w:rFonts w:ascii="Roboto" w:hAnsi="Roboto"/>
          <w:sz w:val="20"/>
          <w:szCs w:val="20"/>
        </w:rPr>
        <w:t>2.1 Soutien pour l’inclusion des participants</w:t>
      </w:r>
    </w:p>
    <w:p>
      <w:pPr>
        <w:pStyle w:val="Paragraphedeliste"/>
        <w:numPr>
          <w:ilvl w:val="0"/>
          <w:numId w:val="18"/>
        </w:numPr>
        <w:suppressAutoHyphens/>
        <w:rPr>
          <w:rFonts w:ascii="Roboto" w:eastAsia="Calibri" w:hAnsi="Roboto"/>
          <w:sz w:val="20"/>
          <w:szCs w:val="20"/>
        </w:rPr>
      </w:pPr>
      <w:r>
        <w:rPr>
          <w:rFonts w:ascii="Roboto" w:hAnsi="Roboto"/>
          <w:sz w:val="20"/>
          <w:szCs w:val="20"/>
          <w:u w:val="single"/>
        </w:rPr>
        <w:t>Calcul du montant de la subvention</w:t>
      </w:r>
    </w:p>
    <w:p>
      <w:pPr>
        <w:tabs>
          <w:tab w:val="left" w:pos="0"/>
        </w:tabs>
        <w:suppressAutoHyphens/>
        <w:spacing w:line="240" w:lineRule="auto"/>
        <w:jc w:val="both"/>
        <w:rPr>
          <w:rFonts w:ascii="Roboto" w:eastAsia="Calibri" w:hAnsi="Roboto" w:cs="Times New Roman"/>
          <w:sz w:val="20"/>
          <w:szCs w:val="20"/>
        </w:rPr>
      </w:pPr>
      <w:r>
        <w:rPr>
          <w:rFonts w:ascii="Roboto" w:hAnsi="Roboto"/>
          <w:sz w:val="20"/>
          <w:szCs w:val="20"/>
        </w:rPr>
        <w:t>La subvention est un remboursement de 100 % des coûts éligibles réellement exposés.</w:t>
      </w:r>
    </w:p>
    <w:p>
      <w:pPr>
        <w:tabs>
          <w:tab w:val="left" w:pos="851"/>
        </w:tabs>
        <w:suppressAutoHyphens/>
        <w:spacing w:line="240" w:lineRule="auto"/>
        <w:ind w:left="851" w:hanging="425"/>
        <w:jc w:val="both"/>
        <w:rPr>
          <w:rFonts w:ascii="Roboto" w:eastAsia="Calibri" w:hAnsi="Roboto" w:cs="Times New Roman"/>
          <w:sz w:val="20"/>
          <w:szCs w:val="20"/>
        </w:rPr>
      </w:pPr>
      <w:r>
        <w:rPr>
          <w:rFonts w:ascii="Roboto" w:hAnsi="Roboto"/>
          <w:sz w:val="20"/>
          <w:szCs w:val="20"/>
        </w:rPr>
        <w:t xml:space="preserve">b) </w:t>
      </w:r>
      <w:r>
        <w:rPr>
          <w:rFonts w:ascii="Roboto" w:hAnsi="Roboto"/>
          <w:sz w:val="20"/>
          <w:szCs w:val="20"/>
          <w:u w:val="single"/>
        </w:rPr>
        <w:t>Coûts éligibles</w:t>
      </w:r>
      <w:r>
        <w:rPr>
          <w:rFonts w:ascii="Roboto" w:hAnsi="Roboto"/>
          <w:sz w:val="20"/>
          <w:szCs w:val="20"/>
        </w:rPr>
        <w:t xml:space="preserve"> </w:t>
      </w:r>
    </w:p>
    <w:p>
      <w:pPr>
        <w:tabs>
          <w:tab w:val="left" w:pos="0"/>
        </w:tabs>
        <w:suppressAutoHyphens/>
        <w:spacing w:line="240" w:lineRule="auto"/>
        <w:jc w:val="both"/>
        <w:rPr>
          <w:rFonts w:ascii="Roboto" w:hAnsi="Roboto"/>
          <w:sz w:val="20"/>
          <w:szCs w:val="20"/>
        </w:rPr>
      </w:pPr>
      <w:r>
        <w:rPr>
          <w:rFonts w:ascii="Roboto" w:hAnsi="Roboto"/>
          <w:sz w:val="20"/>
          <w:szCs w:val="20"/>
        </w:rPr>
        <w:t>Les coûts concernant directement des participants moins favorisés et leurs accompagnateurs Si le participant demande le remboursement des frais de voyage et du soutien individuel au titre de cette catégorie budgétaire, aucune contribution unitaire ne peut être demandée pour ces catégories pour le même participant.</w:t>
      </w:r>
    </w:p>
    <w:p>
      <w:pPr>
        <w:tabs>
          <w:tab w:val="left" w:pos="0"/>
        </w:tabs>
        <w:suppressAutoHyphens/>
        <w:spacing w:after="240" w:line="240" w:lineRule="auto"/>
        <w:jc w:val="both"/>
        <w:rPr>
          <w:rFonts w:ascii="Roboto" w:eastAsia="Calibri" w:hAnsi="Roboto" w:cs="Times New Roman"/>
          <w:sz w:val="20"/>
          <w:szCs w:val="20"/>
        </w:rPr>
      </w:pPr>
      <w:r>
        <w:rPr>
          <w:rFonts w:ascii="Roboto" w:hAnsi="Roboto"/>
          <w:sz w:val="20"/>
          <w:szCs w:val="20"/>
        </w:rPr>
        <w:t>Si le séjour à l’étranger dure plus de 60 jours, la catégorie budgétaire «soutien pour l’inclusion des participants» sera calculée sur la base des coûts réels pour la durée du séjour au-delà du 60</w:t>
      </w:r>
      <w:r>
        <w:rPr>
          <w:rFonts w:ascii="Roboto" w:hAnsi="Roboto"/>
          <w:sz w:val="20"/>
          <w:szCs w:val="20"/>
          <w:vertAlign w:val="superscript"/>
        </w:rPr>
        <w:t>e</w:t>
      </w:r>
      <w:r>
        <w:rPr>
          <w:rFonts w:ascii="Roboto" w:hAnsi="Roboto"/>
          <w:sz w:val="20"/>
          <w:szCs w:val="20"/>
        </w:rPr>
        <w:t> jour.</w:t>
      </w:r>
    </w:p>
    <w:p>
      <w:pPr>
        <w:tabs>
          <w:tab w:val="left" w:pos="0"/>
        </w:tabs>
        <w:suppressAutoHyphens/>
        <w:spacing w:after="0" w:line="240" w:lineRule="auto"/>
        <w:jc w:val="both"/>
        <w:rPr>
          <w:rFonts w:ascii="Roboto" w:eastAsia="Calibri" w:hAnsi="Roboto" w:cs="Times New Roman"/>
          <w:sz w:val="20"/>
          <w:szCs w:val="20"/>
        </w:rPr>
      </w:pPr>
      <w:r>
        <w:rPr>
          <w:rFonts w:ascii="Roboto" w:hAnsi="Roboto"/>
          <w:sz w:val="20"/>
          <w:szCs w:val="20"/>
        </w:rPr>
        <w:lastRenderedPageBreak/>
        <w:t>Les moyens financiers destinés au soutien pour l’inclusion des participants, une fois que ces derniers ont été sélectionnés, peuvent être mis à disposition de deux manières. Le bénéficiaire peut soit soumettre une demande de financement auprès de l’AN, soit effectuer un transfert budgétaire conformément à l’annexe 5 de la convention.</w:t>
      </w:r>
    </w:p>
    <w:p>
      <w:pPr>
        <w:tabs>
          <w:tab w:val="left" w:pos="0"/>
        </w:tabs>
        <w:suppressAutoHyphens/>
        <w:spacing w:after="0" w:line="240" w:lineRule="auto"/>
        <w:jc w:val="both"/>
        <w:rPr>
          <w:rFonts w:ascii="Roboto" w:eastAsia="Calibri" w:hAnsi="Roboto" w:cs="Times New Roman"/>
          <w:sz w:val="20"/>
          <w:szCs w:val="20"/>
        </w:rPr>
      </w:pPr>
    </w:p>
    <w:p>
      <w:pPr>
        <w:pStyle w:val="Paragraphedeliste"/>
        <w:numPr>
          <w:ilvl w:val="0"/>
          <w:numId w:val="38"/>
        </w:numPr>
        <w:tabs>
          <w:tab w:val="left" w:pos="709"/>
        </w:tabs>
        <w:suppressAutoHyphens/>
        <w:rPr>
          <w:rFonts w:ascii="Roboto" w:eastAsia="Calibri" w:hAnsi="Roboto"/>
          <w:sz w:val="20"/>
          <w:szCs w:val="20"/>
        </w:rPr>
      </w:pPr>
      <w:r>
        <w:rPr>
          <w:rFonts w:ascii="Roboto" w:hAnsi="Roboto"/>
          <w:sz w:val="20"/>
          <w:szCs w:val="20"/>
          <w:u w:val="single"/>
        </w:rPr>
        <w:t>Pièces justificatives</w:t>
      </w:r>
    </w:p>
    <w:p>
      <w:pPr>
        <w:tabs>
          <w:tab w:val="left" w:pos="709"/>
        </w:tabs>
        <w:suppressAutoHyphens/>
        <w:spacing w:line="240" w:lineRule="auto"/>
        <w:jc w:val="both"/>
        <w:rPr>
          <w:rFonts w:ascii="Roboto" w:eastAsia="Calibri" w:hAnsi="Roboto" w:cs="Times New Roman"/>
          <w:sz w:val="20"/>
          <w:szCs w:val="20"/>
        </w:rPr>
      </w:pPr>
      <w:r>
        <w:rPr>
          <w:rFonts w:ascii="Roboto" w:hAnsi="Roboto"/>
          <w:sz w:val="20"/>
          <w:szCs w:val="20"/>
        </w:rPr>
        <w:t>La preuve de paiement des frais afférents sur la base de factures précisant le nom et l’adresse de l’organisme délivrant la facture, le montant et la devise, la date de la facture et, le cas échéant, des documents signés par l’organisation d’accueil donnant confirmation des dates de début et de fin du séjour de l’accompagnateur.</w:t>
      </w:r>
    </w:p>
    <w:p>
      <w:pPr>
        <w:pStyle w:val="Paragraphedeliste"/>
        <w:numPr>
          <w:ilvl w:val="0"/>
          <w:numId w:val="38"/>
        </w:numPr>
        <w:tabs>
          <w:tab w:val="left" w:pos="709"/>
        </w:tabs>
        <w:suppressAutoHyphens/>
        <w:rPr>
          <w:rFonts w:ascii="Roboto" w:eastAsia="Calibri" w:hAnsi="Roboto"/>
          <w:sz w:val="20"/>
          <w:szCs w:val="20"/>
        </w:rPr>
      </w:pPr>
      <w:r>
        <w:rPr>
          <w:rFonts w:ascii="Roboto" w:hAnsi="Roboto"/>
          <w:sz w:val="20"/>
          <w:szCs w:val="20"/>
          <w:u w:val="single"/>
        </w:rPr>
        <w:t>Établissement de rapports</w:t>
      </w:r>
      <w:r>
        <w:rPr>
          <w:rFonts w:ascii="Roboto" w:hAnsi="Roboto"/>
          <w:sz w:val="20"/>
          <w:szCs w:val="20"/>
        </w:rPr>
        <w:t xml:space="preserve"> </w:t>
      </w:r>
    </w:p>
    <w:p>
      <w:pPr>
        <w:tabs>
          <w:tab w:val="left" w:pos="709"/>
        </w:tabs>
        <w:suppressAutoHyphens/>
        <w:spacing w:line="240" w:lineRule="auto"/>
        <w:jc w:val="both"/>
        <w:rPr>
          <w:rFonts w:ascii="Roboto" w:eastAsia="Calibri" w:hAnsi="Roboto" w:cs="Times New Roman"/>
          <w:sz w:val="20"/>
          <w:szCs w:val="20"/>
        </w:rPr>
      </w:pPr>
      <w:r>
        <w:rPr>
          <w:rFonts w:ascii="Roboto" w:hAnsi="Roboto"/>
          <w:sz w:val="20"/>
          <w:szCs w:val="20"/>
        </w:rPr>
        <w:t xml:space="preserve">Pour chaque poste de dépense de cette catégorie budgétaire, le bénéficiaire mentionne la nature des coûts et le montant réel des coûts exposés dans son rapport. </w:t>
      </w:r>
    </w:p>
    <w:p>
      <w:pPr>
        <w:pStyle w:val="Titre2"/>
        <w:numPr>
          <w:ilvl w:val="1"/>
          <w:numId w:val="36"/>
        </w:numPr>
        <w:ind w:left="426" w:hanging="284"/>
        <w:rPr>
          <w:rFonts w:ascii="Roboto" w:eastAsia="Calibri" w:hAnsi="Roboto"/>
          <w:sz w:val="20"/>
          <w:szCs w:val="20"/>
        </w:rPr>
      </w:pPr>
      <w:r>
        <w:rPr>
          <w:rFonts w:ascii="Roboto" w:hAnsi="Roboto"/>
          <w:sz w:val="20"/>
          <w:szCs w:val="20"/>
        </w:rPr>
        <w:t xml:space="preserve"> Coûts exceptionnels</w:t>
      </w:r>
    </w:p>
    <w:p>
      <w:pPr>
        <w:pStyle w:val="Paragraphedeliste"/>
        <w:numPr>
          <w:ilvl w:val="0"/>
          <w:numId w:val="33"/>
        </w:numPr>
        <w:suppressAutoHyphens/>
        <w:rPr>
          <w:rFonts w:ascii="Roboto" w:eastAsia="Calibri" w:hAnsi="Roboto"/>
          <w:sz w:val="20"/>
          <w:szCs w:val="20"/>
        </w:rPr>
      </w:pPr>
      <w:r>
        <w:rPr>
          <w:rFonts w:ascii="Roboto" w:hAnsi="Roboto"/>
          <w:sz w:val="20"/>
          <w:szCs w:val="20"/>
          <w:u w:val="single"/>
        </w:rPr>
        <w:t>Calcul du montant de la subvention</w:t>
      </w:r>
    </w:p>
    <w:p>
      <w:pPr>
        <w:suppressAutoHyphens/>
        <w:spacing w:line="240" w:lineRule="auto"/>
        <w:jc w:val="both"/>
        <w:rPr>
          <w:rFonts w:ascii="Roboto" w:eastAsia="Calibri" w:hAnsi="Roboto" w:cs="Times New Roman"/>
          <w:sz w:val="20"/>
          <w:szCs w:val="20"/>
        </w:rPr>
      </w:pPr>
      <w:r>
        <w:rPr>
          <w:rFonts w:ascii="Roboto" w:hAnsi="Roboto"/>
          <w:sz w:val="20"/>
          <w:szCs w:val="20"/>
        </w:rPr>
        <w:t xml:space="preserve">La subvention est un remboursement de 80 % des coûts éligibles réellement exposés suivants à l’exception des frais d’obtention des visas, titres de séjour, vaccins et certificats médicaux, qui sont remboursés à 100 %. </w:t>
      </w:r>
    </w:p>
    <w:p>
      <w:pPr>
        <w:numPr>
          <w:ilvl w:val="0"/>
          <w:numId w:val="18"/>
        </w:numPr>
        <w:suppressAutoHyphens/>
        <w:spacing w:after="200" w:line="240" w:lineRule="auto"/>
        <w:jc w:val="both"/>
        <w:rPr>
          <w:rFonts w:ascii="Roboto" w:eastAsia="Calibri" w:hAnsi="Roboto" w:cs="Times New Roman"/>
          <w:sz w:val="20"/>
          <w:szCs w:val="20"/>
          <w:u w:val="single"/>
        </w:rPr>
      </w:pPr>
      <w:r>
        <w:rPr>
          <w:rFonts w:ascii="Roboto" w:hAnsi="Roboto"/>
          <w:sz w:val="20"/>
          <w:szCs w:val="20"/>
          <w:u w:val="single"/>
        </w:rPr>
        <w:t>Coûts éligibles</w:t>
      </w:r>
    </w:p>
    <w:p>
      <w:pPr>
        <w:pStyle w:val="Paragraphedeliste"/>
        <w:numPr>
          <w:ilvl w:val="0"/>
          <w:numId w:val="34"/>
        </w:numPr>
        <w:rPr>
          <w:rFonts w:ascii="Roboto" w:eastAsia="SimSun" w:hAnsi="Roboto"/>
          <w:sz w:val="20"/>
          <w:szCs w:val="20"/>
        </w:rPr>
      </w:pPr>
      <w:r>
        <w:rPr>
          <w:rFonts w:ascii="Roboto" w:hAnsi="Roboto"/>
          <w:sz w:val="20"/>
          <w:szCs w:val="20"/>
        </w:rPr>
        <w:t>Les coûts liés à une garantie de préfinancement fournie par le bénéficiaire lorsque cette garantie est exigée par l’AN, comme indiqué dans la fiche technique (voir point 4).</w:t>
      </w:r>
    </w:p>
    <w:p>
      <w:pPr>
        <w:pStyle w:val="Paragraphedeliste"/>
        <w:numPr>
          <w:ilvl w:val="0"/>
          <w:numId w:val="34"/>
        </w:numPr>
        <w:rPr>
          <w:rFonts w:ascii="Roboto" w:eastAsia="SimSun" w:hAnsi="Roboto"/>
          <w:sz w:val="20"/>
          <w:szCs w:val="20"/>
        </w:rPr>
      </w:pPr>
      <w:r>
        <w:rPr>
          <w:rFonts w:ascii="Roboto" w:hAnsi="Roboto"/>
          <w:sz w:val="20"/>
          <w:szCs w:val="20"/>
        </w:rPr>
        <w:t xml:space="preserve">Frais de voyage élevés : les frais de déplacement de la manière la plus économique et la plus efficace qui soit, si la contribution unitaire ne couvre pas au moins 70 % de ces frais. La catégorie «coûts exceptionnels pour frais de voyage élevés» remplace la contribution aux frais de voyage. </w:t>
      </w:r>
    </w:p>
    <w:p>
      <w:pPr>
        <w:pStyle w:val="Paragraphedeliste"/>
        <w:numPr>
          <w:ilvl w:val="0"/>
          <w:numId w:val="34"/>
        </w:numPr>
        <w:suppressAutoHyphens/>
        <w:spacing w:after="0"/>
        <w:rPr>
          <w:rFonts w:ascii="Roboto" w:eastAsia="SimSun" w:hAnsi="Roboto"/>
          <w:sz w:val="20"/>
          <w:szCs w:val="20"/>
        </w:rPr>
      </w:pPr>
      <w:r>
        <w:rPr>
          <w:rFonts w:ascii="Roboto" w:hAnsi="Roboto"/>
          <w:sz w:val="20"/>
          <w:szCs w:val="20"/>
        </w:rPr>
        <w:t>Frais de visa et frais connexes, titres de séjour et vaccins et certificats médicaux.</w:t>
      </w:r>
    </w:p>
    <w:p>
      <w:pPr>
        <w:suppressAutoHyphens/>
        <w:spacing w:after="0" w:line="240" w:lineRule="auto"/>
        <w:ind w:left="720"/>
        <w:jc w:val="both"/>
        <w:rPr>
          <w:rFonts w:ascii="Roboto" w:eastAsia="SimSun" w:hAnsi="Roboto" w:cs="Times New Roman"/>
          <w:sz w:val="20"/>
          <w:szCs w:val="20"/>
          <w:lang w:eastAsia="ar-SA"/>
        </w:rPr>
      </w:pPr>
    </w:p>
    <w:p>
      <w:pPr>
        <w:numPr>
          <w:ilvl w:val="0"/>
          <w:numId w:val="18"/>
        </w:numPr>
        <w:suppressAutoHyphens/>
        <w:spacing w:after="0" w:line="240" w:lineRule="auto"/>
        <w:jc w:val="both"/>
        <w:rPr>
          <w:rFonts w:ascii="Roboto" w:eastAsia="SimSun" w:hAnsi="Roboto" w:cs="Times New Roman"/>
          <w:sz w:val="20"/>
          <w:szCs w:val="20"/>
          <w:u w:val="single"/>
        </w:rPr>
      </w:pPr>
      <w:r>
        <w:rPr>
          <w:rFonts w:ascii="Roboto" w:hAnsi="Roboto"/>
          <w:sz w:val="20"/>
          <w:szCs w:val="20"/>
          <w:u w:val="single"/>
        </w:rPr>
        <w:t>Pièces justificatives</w:t>
      </w:r>
    </w:p>
    <w:p>
      <w:pPr>
        <w:suppressAutoHyphens/>
        <w:spacing w:after="0" w:line="240" w:lineRule="auto"/>
        <w:ind w:left="360"/>
        <w:jc w:val="both"/>
        <w:rPr>
          <w:rFonts w:ascii="Roboto" w:eastAsia="SimSun" w:hAnsi="Roboto" w:cs="Times New Roman"/>
          <w:sz w:val="20"/>
          <w:szCs w:val="20"/>
          <w:lang w:eastAsia="ar-SA"/>
        </w:rPr>
      </w:pPr>
    </w:p>
    <w:p>
      <w:pPr>
        <w:suppressAutoHyphens/>
        <w:spacing w:after="0" w:line="240" w:lineRule="auto"/>
        <w:jc w:val="both"/>
        <w:rPr>
          <w:rFonts w:ascii="Roboto" w:eastAsia="SimSun" w:hAnsi="Roboto" w:cs="Times New Roman"/>
          <w:sz w:val="20"/>
          <w:szCs w:val="20"/>
        </w:rPr>
      </w:pPr>
      <w:r>
        <w:rPr>
          <w:rFonts w:ascii="Roboto" w:hAnsi="Roboto"/>
          <w:sz w:val="20"/>
          <w:szCs w:val="20"/>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pPr>
        <w:suppressAutoHyphens/>
        <w:spacing w:after="0" w:line="240" w:lineRule="auto"/>
        <w:ind w:left="1134"/>
        <w:jc w:val="both"/>
        <w:rPr>
          <w:rFonts w:ascii="Roboto" w:eastAsia="SimSun" w:hAnsi="Roboto" w:cs="Times New Roman"/>
          <w:sz w:val="20"/>
          <w:szCs w:val="20"/>
          <w:lang w:eastAsia="ar-SA"/>
        </w:rPr>
      </w:pPr>
    </w:p>
    <w:p>
      <w:pPr>
        <w:suppressAutoHyphens/>
        <w:spacing w:after="200" w:line="240" w:lineRule="auto"/>
        <w:jc w:val="both"/>
        <w:rPr>
          <w:rFonts w:ascii="Roboto" w:eastAsia="SimSun" w:hAnsi="Roboto" w:cs="Times New Roman"/>
          <w:sz w:val="20"/>
          <w:szCs w:val="20"/>
        </w:rPr>
      </w:pPr>
      <w:r>
        <w:rPr>
          <w:rFonts w:ascii="Roboto" w:hAnsi="Roboto"/>
          <w:sz w:val="20"/>
          <w:szCs w:val="20"/>
        </w:rPr>
        <w:t>En cas de frais de voyage élevés: la preuve de paiement des frais afférents sur la base de factures précisant le nom et l’adresse de l’organisme délivrant la facture, le montant et la devise, la date de la facture et l’itinéraire.</w:t>
      </w:r>
    </w:p>
    <w:p>
      <w:pPr>
        <w:suppressAutoHyphens/>
        <w:spacing w:after="0" w:line="240" w:lineRule="auto"/>
        <w:jc w:val="both"/>
        <w:rPr>
          <w:rFonts w:ascii="Roboto" w:eastAsia="SimSun" w:hAnsi="Roboto" w:cs="Times New Roman"/>
          <w:sz w:val="20"/>
          <w:szCs w:val="20"/>
        </w:rPr>
      </w:pPr>
      <w:r>
        <w:rPr>
          <w:rFonts w:ascii="Roboto" w:hAnsi="Roboto"/>
          <w:sz w:val="20"/>
          <w:szCs w:val="20"/>
        </w:rPr>
        <w:t>En cas de frais de voyage liés à l’obtention des visas, titres de séjour, vaccins et certificats médicaux: la preuve de paiement des frais afférents sur la base de factures mentionnant le nom et l’adresse de l’organisme émetteur de la facture, le montant et la devise, ainsi que la date de la facture.</w:t>
      </w:r>
    </w:p>
    <w:p>
      <w:pPr>
        <w:suppressAutoHyphens/>
        <w:spacing w:after="0" w:line="240" w:lineRule="auto"/>
        <w:jc w:val="both"/>
        <w:rPr>
          <w:rFonts w:ascii="Roboto" w:eastAsia="SimSun" w:hAnsi="Roboto" w:cs="Times New Roman"/>
          <w:sz w:val="20"/>
          <w:szCs w:val="20"/>
          <w:lang w:eastAsia="ar-SA"/>
        </w:rPr>
      </w:pPr>
    </w:p>
    <w:p>
      <w:pPr>
        <w:suppressAutoHyphens/>
        <w:spacing w:after="200" w:line="240" w:lineRule="auto"/>
        <w:jc w:val="both"/>
        <w:rPr>
          <w:rFonts w:ascii="Roboto" w:hAnsi="Roboto" w:cs="Times New Roman"/>
          <w:sz w:val="20"/>
          <w:szCs w:val="20"/>
        </w:rPr>
      </w:pPr>
    </w:p>
    <w:p>
      <w:pPr>
        <w:spacing w:line="240" w:lineRule="auto"/>
        <w:jc w:val="both"/>
        <w:rPr>
          <w:rFonts w:ascii="Roboto" w:hAnsi="Roboto" w:cs="Times New Roman"/>
          <w:sz w:val="20"/>
          <w:szCs w:val="20"/>
        </w:rPr>
      </w:pPr>
    </w:p>
    <w:sectPr>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rFonts w:ascii="Roboto" w:hAnsi="Roboto"/>
        <w:noProof/>
        <w:sz w:val="16"/>
        <w:szCs w:val="16"/>
      </w:rPr>
    </w:sdtEndPr>
    <w:sdtContent>
      <w:p>
        <w:pPr>
          <w:pStyle w:val="Pieddepage"/>
          <w:jc w:val="right"/>
          <w:rPr>
            <w:rFonts w:ascii="Roboto" w:hAnsi="Roboto"/>
            <w:sz w:val="16"/>
            <w:szCs w:val="16"/>
          </w:rPr>
        </w:pPr>
        <w:r>
          <w:rPr>
            <w:rFonts w:ascii="Roboto" w:hAnsi="Roboto"/>
            <w:sz w:val="16"/>
            <w:szCs w:val="16"/>
          </w:rPr>
          <w:fldChar w:fldCharType="begin"/>
        </w:r>
        <w:r>
          <w:rPr>
            <w:rFonts w:ascii="Roboto" w:hAnsi="Roboto"/>
            <w:sz w:val="16"/>
            <w:szCs w:val="16"/>
          </w:rPr>
          <w:instrText xml:space="preserve"> PAGE   \* MERGEFORMAT </w:instrText>
        </w:r>
        <w:r>
          <w:rPr>
            <w:rFonts w:ascii="Roboto" w:hAnsi="Roboto"/>
            <w:sz w:val="16"/>
            <w:szCs w:val="16"/>
          </w:rPr>
          <w:fldChar w:fldCharType="separate"/>
        </w:r>
        <w:r>
          <w:rPr>
            <w:rFonts w:ascii="Roboto" w:hAnsi="Roboto"/>
            <w:noProof/>
            <w:sz w:val="16"/>
            <w:szCs w:val="16"/>
          </w:rPr>
          <w:t>1</w:t>
        </w:r>
        <w:r>
          <w:rPr>
            <w:rFonts w:ascii="Roboto" w:hAnsi="Roboto"/>
            <w:sz w:val="16"/>
            <w:szCs w:val="16"/>
          </w:rPr>
          <w:fldChar w:fldCharType="end"/>
        </w:r>
      </w:p>
    </w:sdtContent>
  </w:sdt>
  <w:p>
    <w:pPr>
      <w:pStyle w:val="Pieddepage"/>
    </w:pPr>
    <w:r>
      <w:tab/>
    </w:r>
    <w:r>
      <w:tab/>
    </w:r>
    <w:r>
      <w:rPr>
        <w:noProof/>
        <w:lang w:val="fr-BE" w:eastAsia="fr-BE"/>
      </w:rPr>
      <w:drawing>
        <wp:inline distT="0" distB="0" distL="0" distR="0">
          <wp:extent cx="1811655" cy="379730"/>
          <wp:effectExtent l="0" t="0" r="0" b="0"/>
          <wp:docPr id="3" name="Image 3" descr="Erasmus+_with_baseline-pos-ALL_la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_with_baseline-pos-ALL_la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Roboto" w:hAnsi="Roboto"/>
        <w:sz w:val="16"/>
        <w:szCs w:val="16"/>
      </w:rPr>
    </w:pPr>
    <w:r>
      <w:rPr>
        <w:rFonts w:ascii="Verdana" w:eastAsia="Calibri" w:hAnsi="Verdana" w:cs="Times New Roman"/>
        <w:noProof/>
        <w:sz w:val="22"/>
        <w:lang w:val="fr-BE" w:eastAsia="fr-BE"/>
      </w:rPr>
      <w:drawing>
        <wp:inline distT="0" distB="0" distL="0" distR="0">
          <wp:extent cx="361950" cy="375608"/>
          <wp:effectExtent l="0" t="0" r="0" b="571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_Europe_logo_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36" cy="377565"/>
                  </a:xfrm>
                  <a:prstGeom prst="rect">
                    <a:avLst/>
                  </a:prstGeom>
                  <a:noFill/>
                  <a:ln>
                    <a:noFill/>
                  </a:ln>
                </pic:spPr>
              </pic:pic>
            </a:graphicData>
          </a:graphic>
        </wp:inline>
      </w:drawing>
    </w:r>
    <w:r>
      <w:rPr>
        <w:rFonts w:ascii="Roboto" w:hAnsi="Roboto"/>
        <w:sz w:val="16"/>
        <w:szCs w:val="16"/>
      </w:rPr>
      <w:tab/>
    </w:r>
    <w:r>
      <w:rPr>
        <w:rFonts w:ascii="Roboto" w:hAnsi="Roboto"/>
        <w:sz w:val="16"/>
        <w:szCs w:val="16"/>
      </w:rPr>
      <w:tab/>
    </w:r>
    <w:r>
      <w:rPr>
        <w:noProof/>
        <w:lang w:val="fr-BE" w:eastAsia="fr-BE"/>
      </w:rPr>
      <w:drawing>
        <wp:inline distT="0" distB="0" distL="0" distR="0">
          <wp:extent cx="1475105" cy="387985"/>
          <wp:effectExtent l="0" t="0" r="0" b="0"/>
          <wp:docPr id="1" name="Image 1" descr="UNION EUROPE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EUROPEE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387985"/>
                  </a:xfrm>
                  <a:prstGeom prst="rect">
                    <a:avLst/>
                  </a:prstGeom>
                  <a:noFill/>
                  <a:ln>
                    <a:noFill/>
                  </a:ln>
                </pic:spPr>
              </pic:pic>
            </a:graphicData>
          </a:graphic>
        </wp:inline>
      </w:drawing>
    </w:r>
    <w:r>
      <w:rPr>
        <w:rFonts w:ascii="Roboto" w:hAnsi="Roboto"/>
        <w:sz w:val="16"/>
        <w:szCs w:val="16"/>
      </w:rPr>
      <w:t xml:space="preserve"> </w:t>
    </w:r>
  </w:p>
  <w:p>
    <w:pPr>
      <w:pStyle w:val="En-tte"/>
    </w:pPr>
    <w:r>
      <w:rPr>
        <w:rFonts w:ascii="Roboto" w:hAnsi="Roboto"/>
        <w:sz w:val="16"/>
        <w:szCs w:val="16"/>
      </w:rPr>
      <w:t>SCO/ADU-Convention de subvention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EB50EAC8"/>
    <w:name w:val="WWNum36"/>
    <w:lvl w:ilvl="0">
      <w:start w:val="1"/>
      <w:numFmt w:val="lowerLetter"/>
      <w:lvlText w:val="%1)"/>
      <w:lvlJc w:val="left"/>
      <w:pPr>
        <w:tabs>
          <w:tab w:val="num" w:pos="0"/>
        </w:tabs>
        <w:ind w:left="720" w:hanging="360"/>
      </w:pPr>
      <w:rPr>
        <w:rFonts w:ascii="Roboto" w:eastAsia="Calibri" w:hAnsi="Roboto" w:cs="Times New Roman" w:hint="default"/>
        <w:sz w:val="20"/>
        <w:szCs w:val="2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4"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1B327E7B"/>
    <w:multiLevelType w:val="hybridMultilevel"/>
    <w:tmpl w:val="2200B6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22A256F5"/>
    <w:multiLevelType w:val="hybridMultilevel"/>
    <w:tmpl w:val="2BA23C5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9"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15:restartNumberingAfterBreak="0">
    <w:nsid w:val="40BB188D"/>
    <w:multiLevelType w:val="hybridMultilevel"/>
    <w:tmpl w:val="22B494B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2"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7"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41" w15:restartNumberingAfterBreak="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43"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A820BD"/>
    <w:multiLevelType w:val="hybridMultilevel"/>
    <w:tmpl w:val="56AA3694"/>
    <w:lvl w:ilvl="0" w:tplc="0992A1C6">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3" w15:restartNumberingAfterBreak="0">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4" w15:restartNumberingAfterBreak="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48444A9"/>
    <w:multiLevelType w:val="hybridMultilevel"/>
    <w:tmpl w:val="F42E4530"/>
    <w:lvl w:ilvl="0" w:tplc="14BE4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0"/>
  </w:num>
  <w:num w:numId="3">
    <w:abstractNumId w:val="29"/>
  </w:num>
  <w:num w:numId="4">
    <w:abstractNumId w:val="24"/>
  </w:num>
  <w:num w:numId="5">
    <w:abstractNumId w:val="23"/>
  </w:num>
  <w:num w:numId="6">
    <w:abstractNumId w:val="48"/>
  </w:num>
  <w:num w:numId="7">
    <w:abstractNumId w:val="51"/>
  </w:num>
  <w:num w:numId="8">
    <w:abstractNumId w:val="50"/>
  </w:num>
  <w:num w:numId="9">
    <w:abstractNumId w:val="52"/>
  </w:num>
  <w:num w:numId="10">
    <w:abstractNumId w:val="28"/>
  </w:num>
  <w:num w:numId="11">
    <w:abstractNumId w:val="33"/>
  </w:num>
  <w:num w:numId="12">
    <w:abstractNumId w:val="35"/>
  </w:num>
  <w:num w:numId="13">
    <w:abstractNumId w:val="34"/>
  </w:num>
  <w:num w:numId="14">
    <w:abstractNumId w:val="22"/>
  </w:num>
  <w:num w:numId="15">
    <w:abstractNumId w:val="37"/>
  </w:num>
  <w:num w:numId="16">
    <w:abstractNumId w:val="5"/>
  </w:num>
  <w:num w:numId="17">
    <w:abstractNumId w:val="6"/>
  </w:num>
  <w:num w:numId="18">
    <w:abstractNumId w:val="11"/>
  </w:num>
  <w:num w:numId="19">
    <w:abstractNumId w:val="19"/>
  </w:num>
  <w:num w:numId="20">
    <w:abstractNumId w:val="40"/>
  </w:num>
  <w:num w:numId="21">
    <w:abstractNumId w:val="21"/>
  </w:num>
  <w:num w:numId="22">
    <w:abstractNumId w:val="36"/>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9"/>
  </w:num>
  <w:num w:numId="25">
    <w:abstractNumId w:val="41"/>
  </w:num>
  <w:num w:numId="26">
    <w:abstractNumId w:val="39"/>
  </w:num>
  <w:num w:numId="27">
    <w:abstractNumId w:val="45"/>
  </w:num>
  <w:num w:numId="28">
    <w:abstractNumId w:val="46"/>
  </w:num>
  <w:num w:numId="29">
    <w:abstractNumId w:val="53"/>
  </w:num>
  <w:num w:numId="30">
    <w:abstractNumId w:val="32"/>
  </w:num>
  <w:num w:numId="31">
    <w:abstractNumId w:val="44"/>
  </w:num>
  <w:num w:numId="32">
    <w:abstractNumId w:val="57"/>
  </w:num>
  <w:num w:numId="33">
    <w:abstractNumId w:val="38"/>
  </w:num>
  <w:num w:numId="34">
    <w:abstractNumId w:val="55"/>
  </w:num>
  <w:num w:numId="35">
    <w:abstractNumId w:val="56"/>
  </w:num>
  <w:num w:numId="36">
    <w:abstractNumId w:val="54"/>
  </w:num>
  <w:num w:numId="37">
    <w:abstractNumId w:val="25"/>
  </w:num>
  <w:num w:numId="38">
    <w:abstractNumId w:val="47"/>
  </w:num>
  <w:num w:numId="39">
    <w:abstractNumId w:val="26"/>
  </w:num>
  <w:num w:numId="40">
    <w:abstractNumId w:val="31"/>
  </w:num>
  <w:num w:numId="41">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activeWritingStyle w:appName="MSWord" w:lang="fr-FR" w:vendorID="64" w:dllVersion="131078" w:nlCheck="1" w:checkStyle="0"/>
  <w:activeWritingStyle w:appName="MSWord" w:lang="fr-BE" w:vendorID="64" w:dllVersion="131078" w:nlCheck="1" w:checkStyle="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Bold" w:eastAsiaTheme="majorEastAsia" w:hAnsi="Times New Roman Bold" w:cstheme="majorBidi"/>
      <w:b/>
      <w:bCs/>
      <w:smallCaps/>
      <w:sz w:val="24"/>
      <w:szCs w:val="28"/>
      <w:u w:val="single"/>
      <w:lang w:val="fr-FR"/>
    </w:rPr>
  </w:style>
  <w:style w:type="character" w:customStyle="1" w:styleId="Titre2Car">
    <w:name w:val="Titre 2 Car"/>
    <w:basedOn w:val="Policepardfaut"/>
    <w:link w:val="Titre2"/>
    <w:uiPriority w:val="9"/>
    <w:rPr>
      <w:rFonts w:ascii="Times New Roman Bold" w:eastAsiaTheme="majorEastAsia" w:hAnsi="Times New Roman Bold" w:cstheme="majorBidi"/>
      <w:b/>
      <w:bCs/>
      <w:sz w:val="24"/>
      <w:szCs w:val="26"/>
      <w:lang w:val="fr-FR"/>
    </w:rPr>
  </w:style>
  <w:style w:type="character" w:customStyle="1" w:styleId="Titre3Car">
    <w:name w:val="Titre 3 Car"/>
    <w:basedOn w:val="Policepardfaut"/>
    <w:link w:val="Titre3"/>
    <w:uiPriority w:val="9"/>
    <w:rPr>
      <w:rFonts w:ascii="Times New Roman Bold" w:eastAsiaTheme="majorEastAsia" w:hAnsi="Times New Roman Bold" w:cstheme="majorBidi"/>
      <w:b/>
      <w:bCs/>
      <w:caps/>
      <w:sz w:val="24"/>
      <w:lang w:val="fr-FR"/>
    </w:rPr>
  </w:style>
  <w:style w:type="character" w:customStyle="1" w:styleId="Titre4Car">
    <w:name w:val="Titre 4 Car"/>
    <w:basedOn w:val="Policepardfaut"/>
    <w:link w:val="Titre4"/>
    <w:uiPriority w:val="9"/>
    <w:rPr>
      <w:rFonts w:ascii="Times New Roman Bold" w:eastAsiaTheme="majorEastAsia" w:hAnsi="Times New Roman Bold" w:cstheme="majorBidi"/>
      <w:b/>
      <w:bCs/>
      <w:iCs/>
      <w:caps/>
      <w:sz w:val="24"/>
      <w:lang w:val="fr-FR"/>
    </w:rPr>
  </w:style>
  <w:style w:type="character" w:customStyle="1" w:styleId="Titre5Car">
    <w:name w:val="Titre 5 Car"/>
    <w:basedOn w:val="Policepardfaut"/>
    <w:link w:val="Titre5"/>
    <w:uiPriority w:val="9"/>
    <w:rPr>
      <w:rFonts w:ascii="Times New Roman" w:eastAsiaTheme="majorEastAsia" w:hAnsi="Times New Roman" w:cstheme="majorBidi"/>
      <w:b/>
      <w:sz w:val="24"/>
      <w:lang w:val="fr-FR"/>
    </w:rPr>
  </w:style>
  <w:style w:type="character" w:customStyle="1" w:styleId="Titre6Car">
    <w:name w:val="Titre 6 Car"/>
    <w:basedOn w:val="Policepardfaut"/>
    <w:link w:val="Titre6"/>
    <w:uiPriority w:val="9"/>
    <w:rPr>
      <w:rFonts w:ascii="Times New Roman Bold" w:eastAsiaTheme="majorEastAsia" w:hAnsi="Times New Roman Bold" w:cstheme="majorBidi"/>
      <w:b/>
      <w:bCs/>
      <w:caps/>
      <w:sz w:val="24"/>
      <w:szCs w:val="28"/>
      <w:u w:val="single"/>
      <w:lang w:val="fr-FR"/>
    </w:rPr>
  </w:style>
  <w:style w:type="paragraph" w:styleId="En-tte">
    <w:name w:val="header"/>
    <w:basedOn w:val="Normal"/>
    <w:link w:val="En-tteCar"/>
    <w:unhideWhenUsed/>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Pr>
      <w:rFonts w:ascii="Times New Roman" w:hAnsi="Times New Roman"/>
      <w:sz w:val="24"/>
      <w:lang w:val="fr-FR"/>
    </w:rPr>
  </w:style>
  <w:style w:type="paragraph" w:styleId="Pieddepage">
    <w:name w:val="footer"/>
    <w:basedOn w:val="Normal"/>
    <w:link w:val="PieddepageCar"/>
    <w:uiPriority w:val="99"/>
    <w:unhideWhenUsed/>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Pr>
      <w:rFonts w:ascii="Times New Roman" w:hAnsi="Times New Roman"/>
      <w:sz w:val="24"/>
      <w:lang w:val="fr-FR"/>
    </w:rPr>
  </w:style>
  <w:style w:type="paragraph" w:customStyle="1" w:styleId="Contact">
    <w:name w:val="Contact"/>
    <w:basedOn w:val="Normal"/>
    <w:next w:val="Normal"/>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Pr>
      <w:rFonts w:ascii="Times New Roman" w:eastAsia="Times New Roman" w:hAnsi="Times New Roman" w:cs="Times New Roman"/>
      <w:sz w:val="20"/>
      <w:szCs w:val="20"/>
      <w:lang w:val="fr-FR" w:eastAsia="zh-CN"/>
    </w:r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val="fr-FR" w:eastAsia="zh-CN"/>
    </w:rPr>
  </w:style>
  <w:style w:type="paragraph" w:customStyle="1" w:styleId="Style2">
    <w:name w:val="Style2"/>
    <w:link w:val="Style2Char"/>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Pr>
      <w:rFonts w:ascii="Times New Roman" w:eastAsia="Calibri" w:hAnsi="Times New Roman" w:cs="Times New Roman"/>
      <w:sz w:val="24"/>
      <w:szCs w:val="20"/>
      <w:lang w:val="fr-FR"/>
    </w:rPr>
  </w:style>
  <w:style w:type="paragraph" w:customStyle="1" w:styleId="ZCom">
    <w:name w:val="Z_Com"/>
    <w:basedOn w:val="Normal"/>
    <w:next w:val="Normal"/>
    <w:uiPriority w:val="99"/>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Pr>
      <w:color w:val="0088CC"/>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Pr>
      <w:rFonts w:ascii="Times New Roman" w:eastAsia="Calibri" w:hAnsi="Times New Roman" w:cs="Times New Roman"/>
      <w:sz w:val="24"/>
      <w:szCs w:val="20"/>
      <w:lang w:val="fr-FR"/>
    </w:rPr>
  </w:style>
  <w:style w:type="character" w:customStyle="1" w:styleId="ColorfulList-Accent1Char">
    <w:name w:val="Colorful List - Accent 1 Char"/>
    <w:link w:val="ColorfulList-Accent11"/>
    <w:uiPriority w:val="34"/>
    <w:rPr>
      <w:sz w:val="24"/>
      <w:szCs w:val="24"/>
      <w:lang w:eastAsia="en-GB"/>
    </w:rPr>
  </w:style>
  <w:style w:type="paragraph" w:customStyle="1" w:styleId="ColorfulList-Accent11">
    <w:name w:val="Colorful List - Accent 11"/>
    <w:basedOn w:val="Normal"/>
    <w:link w:val="ColorfulList-Accent1Char"/>
    <w:uiPriority w:val="34"/>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Pr>
      <w:b/>
      <w:bCs/>
      <w:sz w:val="23"/>
      <w:szCs w:val="23"/>
      <w:shd w:val="clear" w:color="auto" w:fill="FFFFFF"/>
    </w:rPr>
  </w:style>
  <w:style w:type="paragraph" w:customStyle="1" w:styleId="Corpsdutexte30">
    <w:name w:val="Corps du texte (3)"/>
    <w:basedOn w:val="Normal"/>
    <w:link w:val="Corpsdutexte3"/>
    <w:uiPriority w:val="99"/>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Pr>
      <w:rFonts w:ascii="Times New Roman" w:eastAsia="Times New Roman" w:hAnsi="Times New Roman" w:cs="Times New Roman"/>
      <w:sz w:val="24"/>
      <w:lang w:val="fr-FR"/>
    </w:rPr>
  </w:style>
  <w:style w:type="paragraph" w:styleId="TM6">
    <w:name w:val="toc 6"/>
    <w:basedOn w:val="Normal"/>
    <w:next w:val="Normal"/>
    <w:autoRedefine/>
    <w:uiPriority w:val="39"/>
    <w:unhideWhenUsed/>
    <w:qFormat/>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pPr>
      <w:spacing w:after="100" w:line="276" w:lineRule="auto"/>
      <w:ind w:left="1320"/>
    </w:pPr>
    <w:rPr>
      <w:rFonts w:eastAsiaTheme="minorEastAsia"/>
      <w:lang w:eastAsia="en-GB"/>
    </w:rPr>
  </w:style>
  <w:style w:type="paragraph" w:styleId="TM8">
    <w:name w:val="toc 8"/>
    <w:basedOn w:val="Normal"/>
    <w:next w:val="Normal"/>
    <w:autoRedefine/>
    <w:uiPriority w:val="39"/>
    <w:unhideWhenUsed/>
    <w:pPr>
      <w:spacing w:after="100" w:line="276" w:lineRule="auto"/>
      <w:ind w:left="1540"/>
    </w:pPr>
    <w:rPr>
      <w:rFonts w:eastAsiaTheme="minorEastAsia"/>
      <w:lang w:eastAsia="en-GB"/>
    </w:rPr>
  </w:style>
  <w:style w:type="paragraph" w:styleId="TM9">
    <w:name w:val="toc 9"/>
    <w:basedOn w:val="Normal"/>
    <w:next w:val="Normal"/>
    <w:autoRedefine/>
    <w:uiPriority w:val="39"/>
    <w:unhideWhenUsed/>
    <w:pPr>
      <w:spacing w:after="100" w:line="276" w:lineRule="auto"/>
      <w:ind w:left="1760"/>
    </w:pPr>
    <w:rPr>
      <w:rFonts w:eastAsiaTheme="minorEastAsia"/>
      <w:lang w:eastAsia="en-GB"/>
    </w:rPr>
  </w:style>
  <w:style w:type="paragraph" w:styleId="Textedebulles">
    <w:name w:val="Balloon Text"/>
    <w:basedOn w:val="Normal"/>
    <w:link w:val="TextedebullesCar"/>
    <w:unhideWhenUsed/>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eastAsia="zh-CN"/>
    </w:rPr>
  </w:style>
  <w:style w:type="paragraph" w:styleId="Rvision">
    <w:name w:val="Revision"/>
    <w:hidden/>
    <w:pPr>
      <w:spacing w:after="0" w:line="240" w:lineRule="auto"/>
    </w:pPr>
    <w:rPr>
      <w:rFonts w:ascii="Times New Roman" w:hAnsi="Times New Roman"/>
      <w:sz w:val="24"/>
    </w:rPr>
  </w:style>
  <w:style w:type="paragraph" w:customStyle="1" w:styleId="Annex">
    <w:name w:val="Annex"/>
    <w:basedOn w:val="Titre6"/>
    <w:qFormat/>
    <w:pPr>
      <w:jc w:val="right"/>
    </w:pPr>
    <w:rPr>
      <w:rFonts w:ascii="Times New Roman" w:eastAsia="Times New Roman" w:hAnsi="Times New Roman"/>
      <w:bCs w:val="0"/>
      <w:iCs/>
      <w:caps/>
      <w:color w:val="000000"/>
      <w:lang w:eastAsia="en-GB"/>
    </w:rPr>
  </w:style>
  <w:style w:type="paragraph" w:styleId="Corpsdetexte">
    <w:name w:val="Body Text"/>
    <w:basedOn w:val="Normal"/>
    <w:link w:val="CorpsdetexteCar"/>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Pr>
      <w:rFonts w:ascii="Times New Roman" w:eastAsia="Times New Roman" w:hAnsi="Times New Roman"/>
      <w:sz w:val="24"/>
      <w:szCs w:val="24"/>
    </w:rPr>
  </w:style>
  <w:style w:type="paragraph" w:customStyle="1" w:styleId="TableParagraph">
    <w:name w:val="Table Paragraph"/>
    <w:basedOn w:val="Normal"/>
    <w:uiPriority w:val="1"/>
    <w:pPr>
      <w:widowControl w:val="0"/>
      <w:spacing w:after="200" w:line="240" w:lineRule="auto"/>
    </w:pPr>
    <w:rPr>
      <w:rFonts w:ascii="Times New Roman" w:hAnsi="Times New Roman"/>
      <w:sz w:val="24"/>
    </w:rPr>
  </w:style>
  <w:style w:type="table" w:styleId="Grilledutableau">
    <w:name w:val="Table Grid"/>
    <w:basedOn w:val="TableauNormal"/>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Pr>
      <w:rFonts w:ascii="EUAlbertina" w:eastAsiaTheme="minorHAnsi" w:hAnsi="EUAlbertina" w:cstheme="minorBidi"/>
      <w:color w:val="auto"/>
      <w:lang w:eastAsia="en-US"/>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Subarticle">
    <w:name w:val="Subarticle"/>
    <w:basedOn w:val="Titre5"/>
    <w:link w:val="SubarticleChar"/>
    <w:pPr>
      <w:keepNext w:val="0"/>
      <w:keepLines w:val="0"/>
      <w:spacing w:after="0"/>
    </w:pPr>
    <w:rPr>
      <w:rFonts w:eastAsia="Times New Roman" w:cs="Times New Roman"/>
      <w:szCs w:val="24"/>
      <w:lang w:eastAsia="en-GB"/>
    </w:rPr>
  </w:style>
  <w:style w:type="character" w:customStyle="1" w:styleId="SubarticleChar">
    <w:name w:val="Subarticle Char"/>
    <w:link w:val="Subarticle"/>
    <w:rPr>
      <w:rFonts w:ascii="Times New Roman" w:eastAsia="Times New Roman" w:hAnsi="Times New Roman" w:cs="Times New Roman"/>
      <w:b/>
      <w:sz w:val="24"/>
      <w:szCs w:val="24"/>
      <w:lang w:val="fr-FR" w:eastAsia="en-GB"/>
    </w:rPr>
  </w:style>
  <w:style w:type="paragraph" w:customStyle="1" w:styleId="Article">
    <w:name w:val="Article"/>
    <w:basedOn w:val="Titre4"/>
    <w:link w:val="ArticleChar"/>
    <w:pPr>
      <w:keepLines w:val="0"/>
      <w:spacing w:after="0"/>
    </w:pPr>
    <w:rPr>
      <w:rFonts w:eastAsia="Times New Roman" w:cs="Times New Roman"/>
      <w:iCs w:val="0"/>
      <w:szCs w:val="24"/>
    </w:rPr>
  </w:style>
  <w:style w:type="character" w:customStyle="1" w:styleId="ArticleChar">
    <w:name w:val="Article Char"/>
    <w:link w:val="Article"/>
    <w:rPr>
      <w:rFonts w:ascii="Times New Roman Bold" w:eastAsia="Times New Roman" w:hAnsi="Times New Roman Bold" w:cs="Times New Roman"/>
      <w:b/>
      <w:bCs/>
      <w:caps/>
      <w:sz w:val="24"/>
      <w:szCs w:val="24"/>
      <w:lang w:val="fr-FR"/>
    </w:rPr>
  </w:style>
  <w:style w:type="character" w:styleId="lev">
    <w:name w:val="Strong"/>
    <w:uiPriority w:val="22"/>
    <w:qFormat/>
    <w:rPr>
      <w:b/>
      <w:bCs/>
    </w:rPr>
  </w:style>
  <w:style w:type="paragraph" w:customStyle="1" w:styleId="1">
    <w:name w:val="1"/>
    <w:basedOn w:val="Normal"/>
    <w:link w:val="Appelnotedebasdep"/>
    <w:qFormat/>
    <w:pPr>
      <w:spacing w:line="240" w:lineRule="exact"/>
      <w:jc w:val="both"/>
    </w:pPr>
    <w:rPr>
      <w:rFonts w:ascii="Times New Roman" w:hAnsi="Times New Roman" w:cs="Times New Roman"/>
      <w:position w:val="4"/>
      <w:sz w:val="20"/>
      <w:vertAlign w:val="superscript"/>
    </w:rPr>
  </w:style>
  <w:style w:type="paragraph" w:customStyle="1" w:styleId="Standard">
    <w:name w:val="Standard"/>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nhideWhenUsed/>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Pr>
      <w:rFonts w:ascii="EUAlbertina" w:eastAsia="Times New Roman" w:hAnsi="EUAlbertina"/>
      <w:color w:val="auto"/>
      <w:lang w:eastAsia="en-US"/>
    </w:rPr>
  </w:style>
  <w:style w:type="paragraph" w:customStyle="1" w:styleId="Annex2">
    <w:name w:val="Annex2"/>
    <w:basedOn w:val="Titre6"/>
  </w:style>
  <w:style w:type="numbering" w:customStyle="1" w:styleId="NoList1">
    <w:name w:val="No List1"/>
    <w:next w:val="Aucuneliste"/>
    <w:uiPriority w:val="99"/>
    <w:semiHidden/>
    <w:unhideWhenUsed/>
  </w:style>
  <w:style w:type="table" w:customStyle="1" w:styleId="TableGrid2">
    <w:name w:val="Table Grid2"/>
    <w:basedOn w:val="TableauNormal"/>
    <w:next w:val="Grilledutableau"/>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semiHidden/>
    <w:unhideWhenUsed/>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style>
  <w:style w:type="table" w:customStyle="1" w:styleId="TableGrid3">
    <w:name w:val="Table Grid3"/>
    <w:basedOn w:val="TableauNormal"/>
    <w:next w:val="Grilledutableau"/>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ucuneliste"/>
    <w:uiPriority w:val="99"/>
    <w:semiHidden/>
    <w:unhideWhenUsed/>
  </w:style>
  <w:style w:type="table" w:customStyle="1" w:styleId="TableGrid21">
    <w:name w:val="Table Grid21"/>
    <w:basedOn w:val="TableauNormal"/>
    <w:next w:val="Grilledutableau"/>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Policepardfaut"/>
    <w:link w:val="Bodytext10"/>
  </w:style>
  <w:style w:type="paragraph" w:customStyle="1" w:styleId="Bodytext10">
    <w:name w:val="Body text|1"/>
    <w:basedOn w:val="Normal"/>
    <w:link w:val="Bodytext1"/>
    <w:pPr>
      <w:widowControl w:val="0"/>
      <w:spacing w:after="180" w:line="240" w:lineRule="auto"/>
    </w:pPr>
  </w:style>
  <w:style w:type="character" w:customStyle="1" w:styleId="WW8Num10z3">
    <w:name w:val="WW8Num10z3"/>
    <w:rPr>
      <w:rFonts w:ascii="Symbol" w:hAnsi="Symbol" w:cs="Symbol" w:hint="default"/>
    </w:rPr>
  </w:style>
  <w:style w:type="paragraph" w:customStyle="1" w:styleId="paragraph">
    <w:name w:val="paragraph"/>
    <w:basedOn w:val="Normal"/>
    <w:link w:val="paragraphChar"/>
    <w:qFormat/>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Pr>
      <w:rFonts w:ascii="Times New Roman" w:eastAsia="Times New Roman" w:hAnsi="Times New Roman" w:cs="Times New Roman"/>
      <w:snapToGrid w:val="0"/>
      <w:sz w:val="24"/>
      <w:szCs w:val="24"/>
      <w:lang w:val="fr-FR" w:eastAsia="en-GB"/>
    </w:rPr>
  </w:style>
  <w:style w:type="character" w:customStyle="1" w:styleId="Footnote1">
    <w:name w:val="Footnote|1_"/>
    <w:basedOn w:val="Policepardfaut"/>
    <w:link w:val="Footnote10"/>
    <w:rPr>
      <w:sz w:val="20"/>
      <w:szCs w:val="20"/>
    </w:rPr>
  </w:style>
  <w:style w:type="character" w:customStyle="1" w:styleId="Other1">
    <w:name w:val="Other|1_"/>
    <w:basedOn w:val="Policepardfaut"/>
    <w:link w:val="Other10"/>
  </w:style>
  <w:style w:type="character" w:customStyle="1" w:styleId="Headerorfooter2">
    <w:name w:val="Header or footer|2_"/>
    <w:basedOn w:val="Policepardfaut"/>
    <w:link w:val="Headerorfooter20"/>
    <w:rPr>
      <w:sz w:val="20"/>
      <w:szCs w:val="20"/>
    </w:rPr>
  </w:style>
  <w:style w:type="character" w:customStyle="1" w:styleId="Heading31">
    <w:name w:val="Heading #3|1_"/>
    <w:basedOn w:val="Policepardfaut"/>
    <w:link w:val="Heading310"/>
    <w:rPr>
      <w:b/>
      <w:bCs/>
    </w:rPr>
  </w:style>
  <w:style w:type="character" w:customStyle="1" w:styleId="Bodytext2">
    <w:name w:val="Body text|2_"/>
    <w:basedOn w:val="Policepardfaut"/>
    <w:link w:val="Bodytext20"/>
    <w:rPr>
      <w:sz w:val="20"/>
      <w:szCs w:val="20"/>
    </w:rPr>
  </w:style>
  <w:style w:type="paragraph" w:customStyle="1" w:styleId="Footnote10">
    <w:name w:val="Footnote|1"/>
    <w:basedOn w:val="Normal"/>
    <w:link w:val="Footnote1"/>
    <w:pPr>
      <w:widowControl w:val="0"/>
      <w:spacing w:after="0" w:line="240" w:lineRule="auto"/>
      <w:ind w:left="380"/>
    </w:pPr>
    <w:rPr>
      <w:sz w:val="20"/>
      <w:szCs w:val="20"/>
    </w:rPr>
  </w:style>
  <w:style w:type="paragraph" w:customStyle="1" w:styleId="Other10">
    <w:name w:val="Other|1"/>
    <w:basedOn w:val="Normal"/>
    <w:link w:val="Other1"/>
    <w:pPr>
      <w:widowControl w:val="0"/>
      <w:spacing w:after="180" w:line="240" w:lineRule="auto"/>
    </w:pPr>
  </w:style>
  <w:style w:type="paragraph" w:customStyle="1" w:styleId="Headerorfooter20">
    <w:name w:val="Header or footer|2"/>
    <w:basedOn w:val="Normal"/>
    <w:link w:val="Headerorfooter2"/>
    <w:pPr>
      <w:widowControl w:val="0"/>
      <w:spacing w:after="0" w:line="240" w:lineRule="auto"/>
    </w:pPr>
    <w:rPr>
      <w:sz w:val="20"/>
      <w:szCs w:val="20"/>
    </w:rPr>
  </w:style>
  <w:style w:type="paragraph" w:customStyle="1" w:styleId="Heading310">
    <w:name w:val="Heading #3|1"/>
    <w:basedOn w:val="Normal"/>
    <w:link w:val="Heading31"/>
    <w:pPr>
      <w:widowControl w:val="0"/>
      <w:spacing w:after="180" w:line="240" w:lineRule="auto"/>
      <w:outlineLvl w:val="2"/>
    </w:pPr>
    <w:rPr>
      <w:b/>
      <w:bCs/>
    </w:rPr>
  </w:style>
  <w:style w:type="paragraph" w:customStyle="1" w:styleId="Bodytext20">
    <w:name w:val="Body text|2"/>
    <w:basedOn w:val="Normal"/>
    <w:link w:val="Bodytext2"/>
    <w:pPr>
      <w:widowControl w:val="0"/>
      <w:spacing w:after="100" w:line="240" w:lineRule="auto"/>
    </w:pPr>
    <w:rPr>
      <w:sz w:val="20"/>
      <w:szCs w:val="20"/>
    </w:rPr>
  </w:style>
  <w:style w:type="character" w:customStyle="1" w:styleId="Heading41">
    <w:name w:val="Heading #4|1_"/>
    <w:basedOn w:val="Policepardfaut"/>
    <w:link w:val="Heading410"/>
    <w:rPr>
      <w:b/>
      <w:bCs/>
    </w:rPr>
  </w:style>
  <w:style w:type="paragraph" w:customStyle="1" w:styleId="Heading410">
    <w:name w:val="Heading #4|1"/>
    <w:basedOn w:val="Normal"/>
    <w:link w:val="Heading41"/>
    <w:pPr>
      <w:widowControl w:val="0"/>
      <w:spacing w:after="180" w:line="240" w:lineRule="auto"/>
      <w:outlineLvl w:val="3"/>
    </w:pPr>
    <w:rPr>
      <w:b/>
      <w:bCs/>
    </w:rPr>
  </w:style>
  <w:style w:type="character" w:customStyle="1" w:styleId="Headerorfooter1">
    <w:name w:val="Header or footer|1_"/>
    <w:basedOn w:val="Policepardfaut"/>
    <w:link w:val="Headerorfooter10"/>
    <w:rPr>
      <w:sz w:val="20"/>
      <w:szCs w:val="20"/>
    </w:rPr>
  </w:style>
  <w:style w:type="paragraph" w:customStyle="1" w:styleId="Headerorfooter10">
    <w:name w:val="Header or footer|1"/>
    <w:basedOn w:val="Normal"/>
    <w:link w:val="Headerorfooter1"/>
    <w:pPr>
      <w:widowControl w:val="0"/>
      <w:spacing w:after="0" w:line="240" w:lineRule="auto"/>
      <w:jc w:val="right"/>
    </w:pPr>
    <w:rPr>
      <w:sz w:val="20"/>
      <w:szCs w:val="20"/>
    </w:rPr>
  </w:style>
  <w:style w:type="character" w:customStyle="1" w:styleId="Tablecaption1">
    <w:name w:val="Table caption|1_"/>
    <w:basedOn w:val="Policepardfaut"/>
    <w:link w:val="Tablecaption10"/>
    <w:rPr>
      <w:rFonts w:ascii="Arial" w:eastAsia="Arial" w:hAnsi="Arial" w:cs="Arial"/>
      <w:b/>
      <w:bCs/>
      <w:sz w:val="8"/>
      <w:szCs w:val="8"/>
    </w:rPr>
  </w:style>
  <w:style w:type="paragraph" w:customStyle="1" w:styleId="Tablecaption10">
    <w:name w:val="Table caption|1"/>
    <w:basedOn w:val="Normal"/>
    <w:link w:val="Tablecaption1"/>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Pr>
      <w:sz w:val="16"/>
      <w:szCs w:val="16"/>
    </w:rPr>
  </w:style>
  <w:style w:type="character" w:customStyle="1" w:styleId="Tableofcontents1">
    <w:name w:val="Table of contents|1_"/>
    <w:basedOn w:val="Policepardfaut"/>
    <w:link w:val="Tableofcontents10"/>
    <w:rPr>
      <w:sz w:val="20"/>
      <w:szCs w:val="20"/>
    </w:rPr>
  </w:style>
  <w:style w:type="character" w:customStyle="1" w:styleId="Bodytext4">
    <w:name w:val="Body text|4_"/>
    <w:basedOn w:val="Policepardfaut"/>
    <w:link w:val="Bodytext40"/>
    <w:rPr>
      <w:sz w:val="16"/>
      <w:szCs w:val="16"/>
    </w:rPr>
  </w:style>
  <w:style w:type="character" w:customStyle="1" w:styleId="Bodytext5">
    <w:name w:val="Body text|5_"/>
    <w:basedOn w:val="Policepardfaut"/>
    <w:link w:val="Bodytext50"/>
    <w:rPr>
      <w:sz w:val="10"/>
      <w:szCs w:val="10"/>
    </w:rPr>
  </w:style>
  <w:style w:type="character" w:customStyle="1" w:styleId="Bodytext3">
    <w:name w:val="Body text|3_"/>
    <w:basedOn w:val="Policepardfaut"/>
    <w:link w:val="Bodytext30"/>
    <w:rPr>
      <w:sz w:val="18"/>
      <w:szCs w:val="18"/>
    </w:rPr>
  </w:style>
  <w:style w:type="character" w:customStyle="1" w:styleId="Bodytext6">
    <w:name w:val="Body text|6_"/>
    <w:basedOn w:val="Policepardfaut"/>
    <w:link w:val="Bodytext60"/>
    <w:rPr>
      <w:sz w:val="13"/>
      <w:szCs w:val="13"/>
    </w:rPr>
  </w:style>
  <w:style w:type="paragraph" w:customStyle="1" w:styleId="Heading110">
    <w:name w:val="Heading #1|1"/>
    <w:basedOn w:val="Normal"/>
    <w:link w:val="Heading11"/>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pPr>
      <w:widowControl w:val="0"/>
      <w:spacing w:after="0" w:line="240" w:lineRule="auto"/>
    </w:pPr>
    <w:rPr>
      <w:sz w:val="16"/>
      <w:szCs w:val="16"/>
    </w:rPr>
  </w:style>
  <w:style w:type="paragraph" w:customStyle="1" w:styleId="Tableofcontents10">
    <w:name w:val="Table of contents|1"/>
    <w:basedOn w:val="Normal"/>
    <w:link w:val="Tableofcontents1"/>
    <w:pPr>
      <w:widowControl w:val="0"/>
      <w:spacing w:after="40" w:line="240" w:lineRule="auto"/>
      <w:ind w:left="1580"/>
    </w:pPr>
    <w:rPr>
      <w:sz w:val="20"/>
      <w:szCs w:val="20"/>
    </w:rPr>
  </w:style>
  <w:style w:type="paragraph" w:customStyle="1" w:styleId="Bodytext40">
    <w:name w:val="Body text|4"/>
    <w:basedOn w:val="Normal"/>
    <w:link w:val="Bodytext4"/>
    <w:pPr>
      <w:widowControl w:val="0"/>
      <w:spacing w:after="0" w:line="228" w:lineRule="auto"/>
      <w:ind w:left="740"/>
    </w:pPr>
    <w:rPr>
      <w:sz w:val="16"/>
      <w:szCs w:val="16"/>
    </w:rPr>
  </w:style>
  <w:style w:type="paragraph" w:customStyle="1" w:styleId="Bodytext50">
    <w:name w:val="Body text|5"/>
    <w:basedOn w:val="Normal"/>
    <w:link w:val="Bodytext5"/>
    <w:pPr>
      <w:widowControl w:val="0"/>
      <w:spacing w:after="0" w:line="240" w:lineRule="auto"/>
    </w:pPr>
    <w:rPr>
      <w:sz w:val="10"/>
      <w:szCs w:val="10"/>
    </w:rPr>
  </w:style>
  <w:style w:type="paragraph" w:customStyle="1" w:styleId="Bodytext30">
    <w:name w:val="Body text|3"/>
    <w:basedOn w:val="Normal"/>
    <w:link w:val="Bodytext3"/>
    <w:pPr>
      <w:widowControl w:val="0"/>
      <w:spacing w:after="100" w:line="240" w:lineRule="auto"/>
      <w:ind w:left="1100"/>
    </w:pPr>
    <w:rPr>
      <w:sz w:val="18"/>
      <w:szCs w:val="18"/>
    </w:rPr>
  </w:style>
  <w:style w:type="paragraph" w:customStyle="1" w:styleId="Bodytext60">
    <w:name w:val="Body text|6"/>
    <w:basedOn w:val="Normal"/>
    <w:link w:val="Bodytext6"/>
    <w:pPr>
      <w:widowControl w:val="0"/>
      <w:spacing w:after="0" w:line="240" w:lineRule="auto"/>
    </w:pPr>
    <w:rPr>
      <w:sz w:val="13"/>
      <w:szCs w:val="13"/>
    </w:rPr>
  </w:style>
  <w:style w:type="paragraph" w:customStyle="1" w:styleId="ZDGName">
    <w:name w:val="Z_DGName"/>
    <w:basedOn w:val="Normal"/>
    <w:uiPriority w:val="99"/>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Pr>
      <w:vertAlign w:val="superscript"/>
    </w:rPr>
  </w:style>
  <w:style w:type="character" w:customStyle="1" w:styleId="markedcontent">
    <w:name w:val="markedcontent"/>
    <w:basedOn w:val="Policepardfaut"/>
  </w:style>
  <w:style w:type="numbering" w:customStyle="1" w:styleId="NoList3">
    <w:name w:val="No List3"/>
    <w:next w:val="Aucuneliste"/>
    <w:uiPriority w:val="99"/>
    <w:semiHidden/>
    <w:unhideWhenUsed/>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Pr>
      <w:rFonts w:ascii="Calibri" w:eastAsia="Calibri" w:hAnsi="Calibri"/>
      <w:sz w:val="22"/>
      <w:szCs w:val="22"/>
      <w:lang w:eastAsia="ar-SA"/>
    </w:rPr>
  </w:style>
  <w:style w:type="character" w:customStyle="1" w:styleId="FooterChar1">
    <w:name w:val="Footer Char1"/>
    <w:basedOn w:val="Policepardfaut"/>
    <w:uiPriority w:val="99"/>
    <w:rPr>
      <w:rFonts w:ascii="Calibri" w:eastAsia="Calibri" w:hAnsi="Calibri"/>
      <w:sz w:val="22"/>
      <w:szCs w:val="22"/>
      <w:lang w:eastAsia="ar-SA"/>
    </w:rPr>
  </w:style>
  <w:style w:type="character" w:customStyle="1" w:styleId="BalloonTextChar1">
    <w:name w:val="Balloon Text Char1"/>
    <w:basedOn w:val="Policepardfaut"/>
    <w:rPr>
      <w:rFonts w:ascii="Tahoma" w:eastAsia="Calibri" w:hAnsi="Tahoma" w:cs="Tahoma"/>
      <w:sz w:val="16"/>
      <w:szCs w:val="16"/>
      <w:lang w:eastAsia="ar-SA"/>
    </w:rPr>
  </w:style>
  <w:style w:type="paragraph" w:customStyle="1" w:styleId="FootnoteText1">
    <w:name w:val="Footnote Text1"/>
    <w:basedOn w:val="Normal"/>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Pr>
      <w:b/>
      <w:bCs/>
    </w:rPr>
  </w:style>
  <w:style w:type="paragraph" w:customStyle="1" w:styleId="Guide-Normal">
    <w:name w:val="Guide - Normal"/>
    <w:basedOn w:val="Normal"/>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Pr>
      <w:rFonts w:ascii="Calibri" w:eastAsia="Calibri" w:hAnsi="Calibri"/>
      <w:lang w:eastAsia="ar-SA"/>
    </w:rPr>
  </w:style>
  <w:style w:type="character" w:customStyle="1" w:styleId="CommentSubjectChar1">
    <w:name w:val="Comment Subject Char1"/>
    <w:basedOn w:val="CommentTextChar1"/>
    <w:uiPriority w:val="99"/>
    <w:semiHidden/>
    <w:rPr>
      <w:rFonts w:ascii="Calibri" w:eastAsia="Calibri" w:hAnsi="Calibri"/>
      <w:b/>
      <w:bCs/>
      <w:lang w:eastAsia="ar-SA"/>
    </w:rPr>
  </w:style>
  <w:style w:type="paragraph" w:customStyle="1" w:styleId="Heading1">
    <w:name w:val="Heading1"/>
    <w:basedOn w:val="Listepuces"/>
    <w:link w:val="Heading1Char"/>
    <w:qFormat/>
    <w:pPr>
      <w:numPr>
        <w:numId w:val="0"/>
      </w:numPr>
      <w:suppressAutoHyphens/>
      <w:spacing w:line="100" w:lineRule="atLeast"/>
    </w:pPr>
    <w:rPr>
      <w:b/>
      <w:bCs/>
    </w:rPr>
  </w:style>
  <w:style w:type="paragraph" w:customStyle="1" w:styleId="Heading211">
    <w:name w:val="Heading 21"/>
    <w:basedOn w:val="Heading1"/>
    <w:qFormat/>
    <w:pPr>
      <w:spacing w:before="240"/>
    </w:pPr>
  </w:style>
  <w:style w:type="character" w:customStyle="1" w:styleId="ListepucesCar">
    <w:name w:val="Liste à puces Car"/>
    <w:basedOn w:val="Policepardfaut"/>
    <w:link w:val="Listepuces"/>
    <w:rPr>
      <w:rFonts w:ascii="Times New Roman" w:eastAsia="Times New Roman" w:hAnsi="Times New Roman" w:cs="Times New Roman"/>
      <w:sz w:val="24"/>
      <w:szCs w:val="20"/>
      <w:lang w:val="fr-FR"/>
    </w:rPr>
  </w:style>
  <w:style w:type="character" w:customStyle="1" w:styleId="Heading1Char">
    <w:name w:val="Heading1 Char"/>
    <w:basedOn w:val="ListepucesCar"/>
    <w:link w:val="Heading1"/>
    <w:rPr>
      <w:rFonts w:ascii="Times New Roman" w:eastAsia="Times New Roman" w:hAnsi="Times New Roman" w:cs="Times New Roman"/>
      <w:b/>
      <w:bCs/>
      <w:sz w:val="24"/>
      <w:szCs w:val="20"/>
      <w:lang w:val="fr-FR"/>
    </w:rPr>
  </w:style>
  <w:style w:type="character" w:customStyle="1" w:styleId="Heading1Char1">
    <w:name w:val="Heading 1 Char1"/>
    <w:basedOn w:val="Policepardfaut"/>
    <w:rPr>
      <w:rFonts w:eastAsia="Calibri"/>
      <w:b/>
      <w:bCs/>
      <w:sz w:val="24"/>
      <w:szCs w:val="28"/>
      <w:lang w:eastAsia="ar-SA"/>
    </w:rPr>
  </w:style>
  <w:style w:type="paragraph" w:styleId="Sansinterligne">
    <w:name w:val="No Spacing"/>
    <w:uiPriority w:val="1"/>
    <w:qFormat/>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style>
  <w:style w:type="table" w:customStyle="1" w:styleId="TableGrid4">
    <w:name w:val="Table Grid4"/>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val="fr-FR" w:eastAsia="en-GB"/>
    </w:rPr>
  </w:style>
  <w:style w:type="character" w:customStyle="1" w:styleId="y2iqfc">
    <w:name w:val="y2iqfc"/>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6161132">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ec.europa.eu/programmes/erasmus-plus/resources/distance-calculator_fr"/>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16" Type="http://schemas.openxmlformats.org/officeDocument/2006/relationships/customXml" Target="../customXml/item1.xml"/>
  <Relationship Id="rId17" Type="http://schemas.openxmlformats.org/officeDocument/2006/relationships/customXml" Target="../customXml/item2.xml"/>
  <Relationship Id="rId18"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er1.xml.rels><?xml version="1.0" encoding="UTF-8"?>

<Relationships xmlns="http://schemas.openxmlformats.org/package/2006/relationships">
  <Relationship Id="rId1"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D39C6C99E8E24C198B07690958AC699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DELBAS01</Cr_x00e9_ateur>
    <Date_x0020_de_x0020_cr_x00e9_ation xmlns="0e656187-b300-4fb0-8bf4-3a50f872073c">2023-06-22T13:57:31Z</Date_x0020_de_x0020_cr_x00e9_ation>
    <Modificateur xmlns="0e656187-b300-4fb0-8bf4-3a50f872073c">DELBAS01</Modificateur>
    <Date_x0020_de_x0020_Modification xmlns="0e656187-b300-4fb0-8bf4-3a50f872073c">2023-06-22T13:59:03Z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64EF789A-990E-458C-AFA5-7585900B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2315</Words>
  <Characters>12733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15018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2023-02-22T10:18:00Z</dcterms:created>
  <dc:creator>PLUTUS-PLATEAU Juliette (EAC)</dc:creator>
  <lastModifiedBy>DEVLAMMINCK Catherine</lastModifiedBy>
  <lastPrinted>2022-10-20T07:45:00Z</lastPrinted>
  <dcterms:modified xsi:type="dcterms:W3CDTF">2023-05-23T11:44:00Z</dcterms:modified>
  <revision>38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