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0" w:line="240" w:lineRule="auto"/>
        <w:rPr>
          <w:rFonts w:ascii="Verdana" w:hAnsi="Verdana"/>
          <w:b/>
          <w:color w:val="002060"/>
          <w:sz w:val="18"/>
          <w:szCs w:val="18"/>
          <w:lang w:val="en-GB"/>
        </w:rPr>
      </w:pPr>
    </w:p>
    <w:p>
      <w:pPr>
        <w:tabs>
          <w:tab w:val="center" w:pos="5032"/>
          <w:tab w:val="left" w:pos="7320"/>
        </w:tabs>
        <w:spacing w:before="120" w:after="480"/>
        <w:ind w:left="1680" w:right="1272"/>
        <w:jc w:val="center"/>
        <w:rPr>
          <w:rFonts w:ascii="Verdana" w:hAnsi="Verdana" w:cstheme="minorHAnsi"/>
          <w:b/>
          <w:color w:val="002060"/>
          <w:sz w:val="18"/>
          <w:szCs w:val="18"/>
          <w:lang w:val="en-GB"/>
        </w:rPr>
      </w:pPr>
      <w:r>
        <w:rPr>
          <w:rFonts w:ascii="Verdana" w:hAnsi="Verdana" w:cstheme="minorHAnsi"/>
          <w:b/>
          <w:color w:val="002060"/>
          <w:sz w:val="18"/>
          <w:szCs w:val="18"/>
          <w:lang w:val="en-GB"/>
        </w:rPr>
        <w:t>Guidelines on how to use the Learning Agreement for Studies</w:t>
      </w:r>
    </w:p>
    <w:p>
      <w:pPr>
        <w:spacing w:before="120" w:after="120"/>
        <w:ind w:right="61"/>
        <w:jc w:val="both"/>
        <w:rPr>
          <w:rFonts w:ascii="Verdana" w:hAnsi="Verdana" w:cstheme="minorHAnsi"/>
          <w:b/>
          <w:color w:val="002060"/>
          <w:sz w:val="18"/>
          <w:szCs w:val="18"/>
          <w:lang w:val="en-GB"/>
        </w:rPr>
      </w:pPr>
      <w:r>
        <w:rPr>
          <w:rFonts w:ascii="Verdana" w:hAnsi="Verdana" w:cstheme="minorHAnsi"/>
          <w:sz w:val="18"/>
          <w:szCs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pPr>
        <w:spacing w:before="120" w:after="120"/>
        <w:ind w:right="61"/>
        <w:jc w:val="both"/>
        <w:rPr>
          <w:rFonts w:ascii="Verdana" w:hAnsi="Verdana" w:cstheme="minorHAnsi"/>
          <w:sz w:val="18"/>
          <w:szCs w:val="18"/>
          <w:lang w:val="en-GB"/>
        </w:rPr>
      </w:pPr>
      <w:r>
        <w:rPr>
          <w:rFonts w:ascii="Verdana" w:eastAsia="Times New Roman" w:hAnsi="Verdana" w:cstheme="minorHAnsi"/>
          <w:sz w:val="18"/>
          <w:szCs w:val="18"/>
          <w:lang w:val="en-GB"/>
        </w:rPr>
        <w:t>This template is applicable to Erasmus+ mobility for studies between Programme Countries (KA1), between Programme and Partner Countries (KA1), and for Higher Education Capacity Building projects involving Partner Countries (KA2).</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this template.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pPr>
        <w:spacing w:before="120" w:after="120"/>
        <w:ind w:right="61"/>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pPr>
        <w:spacing w:before="12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Before the mobility, it is necessary to fill in page 1 with information on the student, the Sending and the Receiving Institutions. The three parties have to agree on this section to be completed before the mobility.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to the three parties, there is no need to repeat it in this template.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student, Sending and Receiving Institutions will have to be encoded in the Mobility Tool+.</w:t>
      </w:r>
    </w:p>
    <w:p>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Educational components (Tables A and B)</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study programme includes the </w:t>
      </w:r>
      <w:r>
        <w:rPr>
          <w:rFonts w:ascii="Verdana" w:hAnsi="Verdana" w:cstheme="minorHAnsi"/>
          <w:b/>
          <w:sz w:val="18"/>
          <w:szCs w:val="18"/>
          <w:lang w:val="en-GB"/>
        </w:rPr>
        <w:t>indicative</w:t>
      </w:r>
      <w:r>
        <w:rPr>
          <w:rFonts w:ascii="Verdana" w:hAnsi="Verdana" w:cstheme="minorHAnsi"/>
          <w:sz w:val="18"/>
          <w:szCs w:val="18"/>
          <w:lang w:val="en-GB"/>
        </w:rPr>
        <w:t xml:space="preserve"> start and end months of the agreed study programme that the student will carry out abroad.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achieved abroad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programme outlined in Table 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w:t>
      </w:r>
      <w:r>
        <w:rPr>
          <w:rFonts w:ascii="Verdana" w:hAnsi="Verdana" w:cstheme="minorHAnsi"/>
          <w:sz w:val="18"/>
          <w:szCs w:val="18"/>
          <w:lang w:val="en-GB"/>
        </w:rPr>
        <w:lastRenderedPageBreak/>
        <w:t>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trPr>
          <w:trHeight w:val="104"/>
        </w:trPr>
        <w:tc>
          <w:tcPr>
            <w:tcW w:w="990" w:type="dxa"/>
            <w:tcBorders>
              <w:top w:val="double" w:sz="6" w:space="0" w:color="auto"/>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Recognition at the Sending Institution</w:t>
            </w:r>
          </w:p>
        </w:tc>
      </w:tr>
      <w:tr>
        <w:trPr>
          <w:trHeight w:val="529"/>
        </w:trPr>
        <w:tc>
          <w:tcPr>
            <w:tcW w:w="990" w:type="dxa"/>
            <w:tcBorders>
              <w:top w:val="nil"/>
              <w:left w:val="double" w:sz="6" w:space="0" w:color="auto"/>
              <w:bottom w:val="nil"/>
              <w:right w:val="nil"/>
            </w:tcBorders>
            <w:shd w:val="clear" w:color="auto" w:fill="auto"/>
            <w:vAlign w:val="center"/>
            <w:hideMark/>
          </w:tcPr>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trPr>
          <w:trHeight w:val="89"/>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tc>
        <w:tc>
          <w:tcPr>
            <w:tcW w:w="1135" w:type="dxa"/>
            <w:tcBorders>
              <w:top w:val="nil"/>
              <w:left w:val="single" w:sz="8" w:space="0" w:color="auto"/>
              <w:bottom w:val="nil"/>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nil"/>
              <w:right w:val="single" w:sz="8" w:space="0" w:color="auto"/>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trPr>
          <w:trHeight w:val="163"/>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 xml:space="preserve">10 </w:t>
            </w:r>
          </w:p>
        </w:tc>
      </w:tr>
      <w:tr>
        <w:trPr>
          <w:trHeight w:val="96"/>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single" w:sz="8" w:space="0" w:color="auto"/>
              <w:right w:val="single" w:sz="8" w:space="0" w:color="auto"/>
            </w:tcBorders>
            <w:shd w:val="clear" w:color="auto" w:fill="auto"/>
            <w:hideMark/>
          </w:tcPr>
          <w:p>
            <w:pPr>
              <w:spacing w:after="0" w:line="240" w:lineRule="auto"/>
              <w:ind w:right="-284"/>
              <w:jc w:val="center"/>
              <w:rPr>
                <w:rFonts w:ascii="Verdana" w:eastAsia="Times New Roman" w:hAnsi="Verdana" w:cstheme="minorHAnsi"/>
                <w:i/>
                <w:iCs/>
                <w:color w:val="000000"/>
                <w:sz w:val="14"/>
                <w:szCs w:val="14"/>
                <w:lang w:val="en-GB" w:eastAsia="en-GB"/>
              </w:rPr>
            </w:pPr>
            <w:r>
              <w:rPr>
                <w:rFonts w:ascii="Verdana" w:hAnsi="Verdana" w:cstheme="minorHAnsi"/>
                <w:i/>
                <w:sz w:val="14"/>
                <w:szCs w:val="14"/>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trPr>
          <w:trHeight w:val="96"/>
        </w:trPr>
        <w:tc>
          <w:tcPr>
            <w:tcW w:w="990" w:type="dxa"/>
            <w:tcBorders>
              <w:top w:val="nil"/>
              <w:left w:val="double" w:sz="6" w:space="0" w:color="auto"/>
              <w:bottom w:val="nil"/>
              <w:right w:val="nil"/>
            </w:tcBorders>
            <w:shd w:val="clear" w:color="auto" w:fill="auto"/>
            <w:noWrap/>
            <w:vAlign w:val="bottom"/>
          </w:tcPr>
          <w:p>
            <w:pPr>
              <w:spacing w:after="0" w:line="240" w:lineRule="auto"/>
              <w:ind w:right="-284"/>
              <w:rPr>
                <w:rFonts w:ascii="Verdana" w:eastAsia="Times New Roman" w:hAnsi="Verdana" w:cstheme="minorHAnsi"/>
                <w:color w:val="000000"/>
                <w:sz w:val="14"/>
                <w:szCs w:val="14"/>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ind w:right="-284"/>
              <w:rPr>
                <w:rFonts w:ascii="Verdana" w:eastAsia="Times New Roman" w:hAnsi="Verdana" w:cstheme="minorHAnsi"/>
                <w:i/>
                <w:iCs/>
                <w:color w:val="000000"/>
                <w:sz w:val="14"/>
                <w:szCs w:val="14"/>
                <w:lang w:val="en-GB" w:eastAsia="en-GB"/>
              </w:rPr>
            </w:pPr>
          </w:p>
        </w:tc>
        <w:tc>
          <w:tcPr>
            <w:tcW w:w="3262" w:type="dxa"/>
            <w:tcBorders>
              <w:top w:val="nil"/>
              <w:left w:val="nil"/>
              <w:bottom w:val="single" w:sz="8" w:space="0" w:color="auto"/>
              <w:right w:val="single" w:sz="8" w:space="0" w:color="auto"/>
            </w:tcBorders>
            <w:shd w:val="clear" w:color="auto" w:fill="auto"/>
          </w:tcPr>
          <w:p>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Thesis research/Doctoral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ind w:right="-284"/>
              <w:jc w:val="center"/>
              <w:rPr>
                <w:rFonts w:ascii="Verdana" w:hAnsi="Verdana" w:cstheme="minorHAnsi"/>
                <w:i/>
                <w:sz w:val="14"/>
                <w:szCs w:val="14"/>
                <w:lang w:val="en-GB"/>
              </w:rPr>
            </w:pPr>
          </w:p>
        </w:tc>
        <w:tc>
          <w:tcPr>
            <w:tcW w:w="3962" w:type="dxa"/>
            <w:tcBorders>
              <w:top w:val="single" w:sz="8" w:space="0" w:color="auto"/>
              <w:left w:val="nil"/>
              <w:bottom w:val="single" w:sz="8" w:space="0" w:color="auto"/>
              <w:right w:val="double" w:sz="6" w:space="0" w:color="000000"/>
            </w:tcBorders>
            <w:shd w:val="clear" w:color="auto" w:fill="auto"/>
          </w:tcPr>
          <w:p>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10 or "Not applicable"</w:t>
            </w:r>
          </w:p>
        </w:tc>
      </w:tr>
      <w:tr>
        <w:trPr>
          <w:trHeight w:val="155"/>
        </w:trPr>
        <w:tc>
          <w:tcPr>
            <w:tcW w:w="990" w:type="dxa"/>
            <w:tcBorders>
              <w:top w:val="nil"/>
              <w:left w:val="double" w:sz="6" w:space="0" w:color="auto"/>
              <w:bottom w:val="double" w:sz="6"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ind w:left="-245"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Total: 40 (</w:t>
            </w:r>
            <w:r>
              <w:rPr>
                <w:rFonts w:ascii="Verdana" w:eastAsia="Times New Roman" w:hAnsi="Verdana" w:cstheme="minorHAnsi"/>
                <w:bCs/>
                <w:color w:val="000000"/>
                <w:sz w:val="14"/>
                <w:szCs w:val="14"/>
                <w:lang w:val="en-GB" w:eastAsia="en-GB"/>
              </w:rPr>
              <w:t xml:space="preserve">or </w:t>
            </w:r>
            <w:r>
              <w:rPr>
                <w:rFonts w:ascii="Verdana" w:eastAsia="Times New Roman" w:hAnsi="Verdana" w:cstheme="minorHAnsi"/>
                <w:bCs/>
                <w:i/>
                <w:color w:val="000000"/>
                <w:sz w:val="14"/>
                <w:szCs w:val="14"/>
                <w:lang w:val="en-GB" w:eastAsia="en-GB"/>
              </w:rPr>
              <w:t>30 if not applicable for Thesis research)</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European Commission encourages institutions to embed </w:t>
      </w:r>
      <w:r>
        <w:rPr>
          <w:rFonts w:ascii="Verdana" w:hAnsi="Verdana" w:cstheme="minorHAnsi"/>
          <w:b/>
          <w:sz w:val="18"/>
          <w:szCs w:val="18"/>
          <w:lang w:val="en-GB"/>
        </w:rPr>
        <w:t>mobility windows</w:t>
      </w:r>
      <w:r>
        <w:rPr>
          <w:rStyle w:val="Appeldenotedefin"/>
          <w:rFonts w:ascii="Verdana" w:hAnsi="Verdana" w:cstheme="minorHAnsi"/>
          <w:sz w:val="18"/>
          <w:szCs w:val="18"/>
          <w:lang w:val="en-GB"/>
        </w:rPr>
        <w:endnoteReference w:id="1"/>
      </w:r>
      <w:r>
        <w:rPr>
          <w:rFonts w:ascii="Verdana" w:hAnsi="Verdana" w:cstheme="minorHAnsi"/>
          <w:b/>
          <w:sz w:val="18"/>
          <w:szCs w:val="18"/>
          <w:lang w:val="en-GB"/>
        </w:rPr>
        <w:t xml:space="preserve"> </w:t>
      </w:r>
      <w:r>
        <w:rPr>
          <w:rFonts w:ascii="Verdana" w:hAnsi="Verdana" w:cstheme="minorHAnsi"/>
          <w:sz w:val="18"/>
          <w:szCs w:val="18"/>
          <w:lang w:val="en-GB"/>
        </w:rPr>
        <w:t xml:space="preserve">in their curricula. Where all credits in Table A are automatically recognised as forming part of the programme at the Sending Institution, typically in the case of </w:t>
      </w:r>
      <w:r>
        <w:rPr>
          <w:rFonts w:ascii="Verdana" w:hAnsi="Verdana" w:cstheme="minorHAnsi"/>
          <w:b/>
          <w:sz w:val="18"/>
          <w:szCs w:val="18"/>
          <w:lang w:val="en-GB"/>
        </w:rPr>
        <w:t>mobility windows</w:t>
      </w:r>
      <w:r>
        <w:rPr>
          <w:rFonts w:ascii="Verdana" w:hAnsi="Verdana" w:cstheme="minorHAnsi"/>
          <w:sz w:val="18"/>
          <w:szCs w:val="18"/>
          <w:lang w:val="en-GB"/>
        </w:rPr>
        <w:t xml:space="preserve">, Table B is </w:t>
      </w:r>
      <w:r>
        <w:rPr>
          <w:rFonts w:ascii="Verdana" w:hAnsi="Verdana" w:cstheme="minorHAnsi"/>
          <w:b/>
          <w:sz w:val="18"/>
          <w:szCs w:val="18"/>
          <w:lang w:val="en-GB"/>
        </w:rPr>
        <w:t>simplified</w:t>
      </w:r>
      <w:r>
        <w:rPr>
          <w:rFonts w:ascii="Verdana" w:hAnsi="Verdana" w:cstheme="minorHAnsi"/>
          <w:sz w:val="18"/>
          <w:szCs w:val="18"/>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trPr>
          <w:trHeight w:val="104"/>
        </w:trPr>
        <w:tc>
          <w:tcPr>
            <w:tcW w:w="989" w:type="dxa"/>
            <w:tcBorders>
              <w:top w:val="double" w:sz="6" w:space="0" w:color="auto"/>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Recognition at the Sending Institution </w:t>
            </w:r>
          </w:p>
          <w:p>
            <w:pPr>
              <w:spacing w:after="0" w:line="240" w:lineRule="auto"/>
              <w:ind w:right="-284"/>
              <w:jc w:val="center"/>
              <w:rPr>
                <w:rFonts w:ascii="Verdana" w:eastAsia="Times New Roman" w:hAnsi="Verdana" w:cstheme="minorHAnsi"/>
                <w:b/>
                <w:bCs/>
                <w:i/>
                <w:iCs/>
                <w:color w:val="000000"/>
                <w:sz w:val="14"/>
                <w:szCs w:val="14"/>
                <w:lang w:val="en-GB" w:eastAsia="en-GB"/>
              </w:rPr>
            </w:pPr>
          </w:p>
        </w:tc>
      </w:tr>
      <w:tr>
        <w:trPr>
          <w:trHeight w:val="529"/>
        </w:trPr>
        <w:tc>
          <w:tcPr>
            <w:tcW w:w="989" w:type="dxa"/>
            <w:tcBorders>
              <w:top w:val="nil"/>
              <w:left w:val="double" w:sz="6" w:space="0" w:color="auto"/>
              <w:bottom w:val="nil"/>
              <w:right w:val="nil"/>
            </w:tcBorders>
            <w:shd w:val="clear" w:color="auto" w:fill="auto"/>
            <w:vAlign w:val="center"/>
            <w:hideMark/>
          </w:tcPr>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trPr>
          <w:trHeight w:val="89"/>
        </w:trPr>
        <w:tc>
          <w:tcPr>
            <w:tcW w:w="989" w:type="dxa"/>
            <w:tcBorders>
              <w:top w:val="nil"/>
              <w:left w:val="double" w:sz="6" w:space="0" w:color="auto"/>
              <w:bottom w:val="double" w:sz="6" w:space="0" w:color="000000"/>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r>
              <w:rPr>
                <w:rFonts w:ascii="Verdana" w:hAnsi="Verdana" w:cstheme="minorHAnsi"/>
                <w:i/>
                <w:sz w:val="14"/>
                <w:szCs w:val="14"/>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Total: </w:t>
            </w:r>
            <w:r>
              <w:rPr>
                <w:rFonts w:ascii="Verdana" w:eastAsia="Times New Roman" w:hAnsi="Verdana" w:cstheme="minorHAnsi"/>
                <w:bCs/>
                <w:i/>
                <w:color w:val="000000"/>
                <w:sz w:val="14"/>
                <w:szCs w:val="14"/>
                <w:lang w:val="en-GB" w:eastAsia="en-GB"/>
              </w:rPr>
              <w:t>30</w:t>
            </w:r>
            <w:r>
              <w:rPr>
                <w:rFonts w:ascii="Verdana" w:eastAsia="Times New Roman" w:hAnsi="Verdana" w:cstheme="minorHAnsi"/>
                <w:b/>
                <w:bCs/>
                <w:color w:val="000000"/>
                <w:sz w:val="14"/>
                <w:szCs w:val="14"/>
                <w:lang w:val="en-GB" w:eastAsia="en-GB"/>
              </w:rPr>
              <w:t> </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pPr>
        <w:spacing w:before="120" w:after="120"/>
        <w:ind w:right="61"/>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students in improving their knowledge of the main language of instruction, before and during their stay abroad, to ensure a better quality of learning mobility.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the mobility. This assessment will be taken after the student is selected, before signing the Learning Agreement or, alternatively, the grant agreement.</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1" w:history="1">
        <w:r>
          <w:rPr>
            <w:rStyle w:val="Lienhypertexte"/>
            <w:rFonts w:ascii="Verdana" w:hAnsi="Verdana" w:cstheme="minorHAnsi"/>
            <w:sz w:val="18"/>
            <w:szCs w:val="18"/>
            <w:lang w:val="en-GB"/>
          </w:rPr>
          <w:t>http://erasmusplusols.eu</w:t>
        </w:r>
      </w:hyperlink>
      <w:r>
        <w:rPr>
          <w:rStyle w:val="Lienhypertexte"/>
          <w:rFonts w:ascii="Verdana" w:hAnsi="Verdana" w:cstheme="minorHAnsi"/>
          <w:sz w:val="18"/>
          <w:szCs w:val="18"/>
          <w:lang w:val="en-GB"/>
        </w:rPr>
        <w:t>.</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pPr>
        <w:spacing w:before="36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Exceptional Changes to the Study Programme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Changes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Any party can request changes to the study programme within five weeks after the start of each semester. These changes should be agreed by all parties as soon as possible, within two-weeks following the request.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due to an extension of the duration of the mobility, a request can be made by the student at the latest one month before the foreseen end date.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trPr>
          <w:trHeight w:val="79"/>
        </w:trPr>
        <w:tc>
          <w:tcPr>
            <w:tcW w:w="884" w:type="dxa"/>
            <w:tcBorders>
              <w:top w:val="double" w:sz="6" w:space="0" w:color="000000"/>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color w:val="000000"/>
                <w:sz w:val="14"/>
                <w:szCs w:val="14"/>
                <w:lang w:val="en-GB" w:eastAsia="en-GB"/>
              </w:rPr>
            </w:pPr>
            <w:r>
              <w:rPr>
                <w:rFonts w:ascii="Verdana" w:eastAsia="Times New Roman" w:hAnsi="Verdana" w:cstheme="minorHAnsi"/>
                <w:b/>
                <w:color w:val="000000"/>
                <w:sz w:val="14"/>
                <w:szCs w:val="14"/>
                <w:lang w:val="en-GB" w:eastAsia="en-GB"/>
              </w:rPr>
              <w:t>Exceptional changes to Table A</w:t>
            </w:r>
          </w:p>
          <w:p>
            <w:pPr>
              <w:spacing w:after="0" w:line="240" w:lineRule="auto"/>
              <w:ind w:left="-97" w:right="165"/>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(to be approved by e-mail or signature by the student, the responsible person in the Sending Institution and the responsible person in the Receiving Institution)</w:t>
            </w:r>
          </w:p>
        </w:tc>
      </w:tr>
      <w:tr>
        <w:trPr>
          <w:trHeight w:val="677"/>
        </w:trPr>
        <w:tc>
          <w:tcPr>
            <w:tcW w:w="884" w:type="dxa"/>
            <w:tcBorders>
              <w:top w:val="nil"/>
              <w:left w:val="double" w:sz="6" w:space="0" w:color="auto"/>
              <w:bottom w:val="nil"/>
              <w:right w:val="single" w:sz="8" w:space="0" w:color="auto"/>
            </w:tcBorders>
            <w:shd w:val="clear" w:color="auto" w:fill="auto"/>
            <w:vAlign w:val="center"/>
            <w:hideMark/>
          </w:tcPr>
          <w:p>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A2</w:t>
            </w:r>
          </w:p>
          <w:p>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left="45" w:right="-12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 Component  code </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 xml:space="preserve"> (if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left="5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w:t>
            </w:r>
            <w:r>
              <w:rPr>
                <w:rFonts w:ascii="Verdana" w:eastAsia="Times New Roman" w:hAnsi="Verdana" w:cstheme="minorHAnsi"/>
                <w:bCs/>
                <w:color w:val="000000"/>
                <w:sz w:val="14"/>
                <w:szCs w:val="14"/>
                <w:lang w:val="en-GB" w:eastAsia="en-GB"/>
              </w:rPr>
              <w:t xml:space="preserve"> </w:t>
            </w:r>
            <w:r>
              <w:rPr>
                <w:rFonts w:ascii="Verdana" w:eastAsia="Times New Roman" w:hAnsi="Verdana" w:cstheme="minorHAnsi"/>
                <w:b/>
                <w:bCs/>
                <w:color w:val="000000"/>
                <w:sz w:val="14"/>
                <w:szCs w:val="14"/>
                <w:lang w:val="en-GB" w:eastAsia="en-GB"/>
              </w:rPr>
              <w:t xml:space="preserve">Receiving Institution </w:t>
            </w:r>
            <w:r>
              <w:rPr>
                <w:rFonts w:ascii="Verdana" w:eastAsia="Times New Roman" w:hAnsi="Verdana" w:cstheme="minorHAnsi"/>
                <w:bCs/>
                <w:color w:val="000000"/>
                <w:sz w:val="14"/>
                <w:szCs w:val="14"/>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Deleted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Added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Reason for change</w:t>
            </w:r>
            <w:r>
              <w:rPr>
                <w:rStyle w:val="Appeldenotedefin"/>
                <w:rFonts w:ascii="Verdana" w:eastAsia="Times New Roman" w:hAnsi="Verdana" w:cstheme="minorHAnsi"/>
                <w:b/>
                <w:bCs/>
                <w:color w:val="000000"/>
                <w:sz w:val="14"/>
                <w:szCs w:val="14"/>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16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w:t>
            </w:r>
          </w:p>
        </w:tc>
      </w:tr>
      <w:tr>
        <w:trPr>
          <w:trHeight w:val="108"/>
        </w:trPr>
        <w:tc>
          <w:tcPr>
            <w:tcW w:w="884" w:type="dxa"/>
            <w:tcBorders>
              <w:top w:val="nil"/>
              <w:left w:val="double" w:sz="6" w:space="0" w:color="auto"/>
              <w:bottom w:val="nil"/>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nil"/>
              <w:left w:val="nil"/>
              <w:bottom w:val="nil"/>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XXX</w:t>
            </w:r>
          </w:p>
        </w:tc>
        <w:tc>
          <w:tcPr>
            <w:tcW w:w="99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61720181"/>
                <w14:checkbox>
                  <w14:checked w14:val="1"/>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97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92696618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 xml:space="preserve"> 5 </w:t>
            </w:r>
          </w:p>
        </w:tc>
      </w:tr>
      <w:tr>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35947929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224877862"/>
                <w14:checkbox>
                  <w14:checked w14:val="1"/>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8</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Table B2 should be completed only if the changes described in Table A2 affect the group of educational components agreed in Table B.</w:t>
      </w:r>
    </w:p>
    <w:p>
      <w:pPr>
        <w:spacing w:before="120" w:after="120"/>
        <w:ind w:right="61"/>
        <w:rPr>
          <w:rFonts w:ascii="Verdana" w:hAnsi="Verdana" w:cstheme="minorHAnsi"/>
          <w:b/>
          <w:color w:val="002060"/>
          <w:sz w:val="18"/>
          <w:szCs w:val="18"/>
          <w:u w:val="single"/>
          <w:lang w:val="en-GB"/>
        </w:rPr>
      </w:pPr>
    </w:p>
    <w:p>
      <w:pPr>
        <w:keepNext/>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Email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r>
      <w:tr>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single" w:sz="8"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r>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double" w:sz="6"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bl>
    <w:p>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pPr>
        <w:spacing w:before="120" w:after="120"/>
        <w:ind w:left="-567" w:right="-284"/>
        <w:jc w:val="center"/>
        <w:rPr>
          <w:rFonts w:ascii="Verdana" w:hAnsi="Verdana" w:cstheme="minorHAnsi"/>
          <w:b/>
          <w:color w:val="002060"/>
          <w:sz w:val="18"/>
          <w:szCs w:val="18"/>
          <w:lang w:val="en-GB"/>
        </w:rPr>
      </w:pPr>
    </w:p>
    <w:p>
      <w:pPr>
        <w:spacing w:before="12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Records at the Receiving Institution (Table C)</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It can be provided electronically or through any other means accessible to the student and the Sending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Transcript of Records from the Receiving Institution (Table C) should refer to the educational components agreed in Table A and, where applicable, in Table A2. Grade distribution information should be included (web link or annex).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study period should be included according to the following definitions: </w:t>
      </w:r>
    </w:p>
    <w:p>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start date</w:t>
      </w:r>
      <w:r>
        <w:rPr>
          <w:rFonts w:ascii="Verdana" w:hAnsi="Verdana"/>
          <w:sz w:val="18"/>
          <w:szCs w:val="18"/>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end date</w:t>
      </w:r>
      <w:r>
        <w:rPr>
          <w:rFonts w:ascii="Verdana" w:hAnsi="Verdana"/>
          <w:sz w:val="18"/>
          <w:szCs w:val="18"/>
          <w:lang w:val="en-GB"/>
        </w:rPr>
        <w:t xml:space="preserve"> of the study period is the last day the student had to be present at the Receiving Institution, not his actual date of departure. This is, for example, the end of exams period, courses or mandatory sitting period.</w:t>
      </w:r>
    </w:p>
    <w:p>
      <w:pPr>
        <w:spacing w:before="240" w:after="120"/>
        <w:ind w:right="61"/>
        <w:jc w:val="both"/>
        <w:rPr>
          <w:rFonts w:ascii="Verdana" w:hAnsi="Verdana" w:cstheme="minorHAnsi"/>
          <w:sz w:val="18"/>
          <w:szCs w:val="18"/>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3"/>
      </w:r>
      <w:r>
        <w:rPr>
          <w:rFonts w:ascii="Verdana" w:hAnsi="Verdana" w:cstheme="minorHAnsi"/>
          <w:b/>
          <w:sz w:val="18"/>
          <w:szCs w:val="18"/>
          <w:u w:val="single"/>
          <w:lang w:val="en-GB"/>
        </w:rPr>
        <w:t xml:space="preserve"> at the Sending Institution (Table 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(or equivalent) contained in Table B (and, if applicable, B2) and count them towards the student’s degree, without the need for the student to take any further courses or exams.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Pr>
          <w:rStyle w:val="Appeldenotedefin"/>
          <w:rFonts w:ascii="Verdana" w:hAnsi="Verdana" w:cstheme="minorHAnsi"/>
          <w:sz w:val="18"/>
          <w:szCs w:val="18"/>
          <w:lang w:val="en-GB"/>
        </w:rPr>
        <w:endnoteReference w:id="4"/>
      </w:r>
      <w:r>
        <w:rPr>
          <w:rFonts w:ascii="Verdana" w:hAnsi="Verdana" w:cstheme="minorHAnsi"/>
          <w:sz w:val="18"/>
          <w:szCs w:val="18"/>
          <w:lang w:val="en-GB"/>
        </w:rPr>
        <w:t>). The European Commission encourages institutions to use the EGRACONS</w:t>
      </w:r>
      <w:r>
        <w:rPr>
          <w:rStyle w:val="Appeldenotedefin"/>
          <w:rFonts w:ascii="Verdana" w:hAnsi="Verdana" w:cstheme="minorHAnsi"/>
          <w:sz w:val="18"/>
          <w:szCs w:val="18"/>
          <w:lang w:val="en-GB"/>
        </w:rPr>
        <w:endnoteReference w:id="5"/>
      </w:r>
      <w:r>
        <w:rPr>
          <w:rFonts w:ascii="Verdana" w:hAnsi="Verdana" w:cstheme="minorHAnsi"/>
          <w:sz w:val="18"/>
          <w:szCs w:val="18"/>
          <w:lang w:val="en-GB"/>
        </w:rPr>
        <w:t xml:space="preserve"> tool for this purpose.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 the Sending Institution via the on-line EU survey or a complementary online survey.</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Diploma Supplement: </w:t>
      </w:r>
      <w:r>
        <w:rPr>
          <w:rFonts w:ascii="Verdana" w:hAnsi="Verdana" w:cstheme="minorHAnsi"/>
          <w:sz w:val="18"/>
          <w:szCs w:val="18"/>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Pr>
          <w:rFonts w:ascii="Verdana" w:hAnsi="Verdana" w:cstheme="minorHAnsi"/>
          <w:sz w:val="18"/>
          <w:szCs w:val="18"/>
          <w:lang w:val="en-GB"/>
        </w:rPr>
        <w:br w:type="page"/>
      </w:r>
    </w:p>
    <w:p>
      <w:pPr>
        <w:spacing w:before="120" w:after="120"/>
        <w:ind w:left="-567" w:right="-284"/>
        <w:jc w:val="both"/>
        <w:rPr>
          <w:rFonts w:ascii="Verdana" w:hAnsi="Verdana" w:cstheme="minorHAnsi"/>
          <w:sz w:val="18"/>
          <w:szCs w:val="18"/>
          <w:lang w:val="en-GB"/>
        </w:rPr>
      </w:pPr>
    </w:p>
    <w:p>
      <w:pPr>
        <w:pStyle w:val="Titre4"/>
        <w:keepNext w:val="0"/>
        <w:numPr>
          <w:ilvl w:val="0"/>
          <w:numId w:val="0"/>
        </w:numPr>
        <w:tabs>
          <w:tab w:val="left" w:pos="2977"/>
          <w:tab w:val="left" w:pos="7371"/>
        </w:tabs>
        <w:jc w:val="center"/>
        <w:rPr>
          <w:rFonts w:ascii="Verdana"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Steps to fill in the Learning Agreement for Studies</w:t>
      </w:r>
    </w:p>
    <w:p>
      <w:pPr>
        <w:tabs>
          <w:tab w:val="left" w:pos="2977"/>
          <w:tab w:val="left" w:pos="7371"/>
        </w:tabs>
        <w:rPr>
          <w:rFonts w:ascii="Verdana" w:eastAsia="Times New Roman" w:hAnsi="Verdana" w:cs="Calibri"/>
          <w:b/>
          <w:color w:val="002060"/>
          <w:sz w:val="18"/>
          <w:szCs w:val="18"/>
          <w:lang w:val="en-GB"/>
        </w:rPr>
      </w:pPr>
      <w:r>
        <w:rPr>
          <w:rFonts w:ascii="Verdana" w:hAnsi="Verdana" w:cs="Calibr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2445385</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3.55pt;margin-top:192.5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1856740</wp:posOffset>
                </wp:positionH>
                <wp:positionV relativeFrom="paragraph">
                  <wp:posOffset>4902835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6.2pt;margin-top:386.05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5502910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3.55pt;margin-top:433.3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" fillcolor="#92d050" strokecolor="#f2f2f2" strokeweight="3pt">
                <v:shadow on="t" color="#4e6128" opacity=".5" offset="1pt"/>
                <v:textbo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Calibri"/>
          <w:b/>
          <w:color w:val="002060"/>
          <w:sz w:val="18"/>
          <w:szCs w:val="18"/>
          <w:lang w:val="en-GB"/>
        </w:rPr>
        <w:br w:type="page"/>
      </w:r>
    </w:p>
    <w:p>
      <w:pPr>
        <w:rPr>
          <w:rFonts w:ascii="Verdana" w:hAnsi="Verdana"/>
          <w:sz w:val="18"/>
          <w:szCs w:val="18"/>
          <w:lang w:val="en-GB"/>
        </w:rPr>
      </w:pPr>
    </w:p>
    <w:sectPr>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Mobility window</w:t>
      </w:r>
      <w:r>
        <w:rPr>
          <w:rFonts w:cstheme="minorHAnsi"/>
          <w:lang w:val="en-GB"/>
        </w:rPr>
        <w:t>: a period of time reserved for student credit mobility that is embedded into the curriculum of a study programme.</w:t>
      </w:r>
    </w:p>
  </w:endnote>
  <w:endnote w:id="2">
    <w:p>
      <w:pPr>
        <w:pStyle w:val="Notedebasdepage"/>
        <w:spacing w:before="120" w:after="120"/>
        <w:rPr>
          <w:rFonts w:cstheme="minorHAnsi"/>
          <w:b/>
          <w:lang w:val="en-GB"/>
        </w:rPr>
      </w:pPr>
      <w:r>
        <w:rPr>
          <w:rStyle w:val="Appeldenotedefin"/>
        </w:rPr>
        <w:endnoteRef/>
      </w:r>
      <w:r>
        <w:rPr>
          <w:lang w:val="en-GB"/>
        </w:rPr>
        <w:t xml:space="preserve">  </w:t>
      </w:r>
      <w:r>
        <w:rPr>
          <w:rFonts w:cstheme="minorHAnsi"/>
          <w:b/>
          <w:lang w:val="en-GB"/>
        </w:rPr>
        <w:t>Reasons for exceptional changes to study programme abroad (choose an item number from the table below):</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tc>
          <w:tcPr>
            <w:tcW w:w="6218"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rPr>
                <w:rFonts w:cstheme="minorHAnsi"/>
                <w:b/>
                <w:i/>
                <w:iCs/>
                <w:u w:val="single"/>
                <w:lang w:val="en-GB"/>
              </w:rPr>
            </w:pPr>
            <w:r>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rPr>
                <w:rFonts w:cstheme="minorHAnsi"/>
                <w:b/>
                <w:i/>
                <w:iCs/>
                <w:u w:val="single"/>
                <w:lang w:val="en-GB"/>
              </w:rPr>
            </w:pPr>
            <w:r>
              <w:rPr>
                <w:rFonts w:cstheme="minorHAnsi"/>
                <w:b/>
                <w:i/>
                <w:iCs/>
                <w:lang w:val="en-GB"/>
              </w:rPr>
              <w:t>Reason for adding a component</w:t>
            </w:r>
          </w:p>
        </w:tc>
      </w:tr>
      <w:tr>
        <w:tc>
          <w:tcPr>
            <w:tcW w:w="6218" w:type="dxa"/>
            <w:tcBorders>
              <w:top w:val="single" w:sz="12" w:space="0" w:color="000000"/>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1.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5. Substituting a deleted component</w:t>
            </w:r>
          </w:p>
        </w:tc>
      </w:tr>
      <w:tr>
        <w:tc>
          <w:tcPr>
            <w:tcW w:w="6218"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2.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6. Extending the mobility period</w:t>
            </w:r>
          </w:p>
        </w:tc>
      </w:tr>
      <w:tr>
        <w:tc>
          <w:tcPr>
            <w:tcW w:w="6218" w:type="dxa"/>
            <w:tcBorders>
              <w:top w:val="nil"/>
              <w:left w:val="single" w:sz="12" w:space="0" w:color="000000"/>
              <w:bottom w:val="nil"/>
              <w:right w:val="single" w:sz="12" w:space="0" w:color="000000"/>
            </w:tcBorders>
            <w:shd w:val="clear" w:color="auto" w:fill="auto"/>
          </w:tcPr>
          <w:p>
            <w:pPr>
              <w:pStyle w:val="Notedebasdepage"/>
              <w:rPr>
                <w:rFonts w:cstheme="minorHAnsi"/>
                <w:lang w:val="en-GB"/>
              </w:rPr>
            </w:pPr>
            <w:r>
              <w:rPr>
                <w:rFonts w:cstheme="minorHAnsi"/>
                <w:lang w:val="en-GB"/>
              </w:rPr>
              <w:t>3. Timetable conflict</w:t>
            </w:r>
          </w:p>
        </w:tc>
        <w:tc>
          <w:tcPr>
            <w:tcW w:w="3387"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7. Other (please specify)</w:t>
            </w:r>
          </w:p>
        </w:tc>
      </w:tr>
      <w:tr>
        <w:tc>
          <w:tcPr>
            <w:tcW w:w="6218" w:type="dxa"/>
            <w:tcBorders>
              <w:top w:val="nil"/>
              <w:left w:val="single" w:sz="12" w:space="0" w:color="000000"/>
              <w:bottom w:val="single" w:sz="12" w:space="0" w:color="000000"/>
              <w:right w:val="single" w:sz="12" w:space="0" w:color="000000"/>
            </w:tcBorders>
            <w:shd w:val="clear" w:color="auto" w:fill="auto"/>
          </w:tcPr>
          <w:p>
            <w:pPr>
              <w:pStyle w:val="Notedebasdepage"/>
              <w:rPr>
                <w:rFonts w:cstheme="minorHAnsi"/>
                <w:lang w:val="en-GB"/>
              </w:rPr>
            </w:pPr>
            <w:r>
              <w:rPr>
                <w:rFonts w:cstheme="minorHAnsi"/>
                <w:lang w:val="en-GB"/>
              </w:rPr>
              <w:t>4. 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pPr>
              <w:pStyle w:val="Notedebasdepage"/>
              <w:rPr>
                <w:rFonts w:cstheme="minorHAnsi"/>
                <w:u w:val="single"/>
                <w:lang w:val="en-GB"/>
              </w:rPr>
            </w:pPr>
          </w:p>
        </w:tc>
      </w:tr>
    </w:tbl>
    <w:p>
      <w:pPr>
        <w:pStyle w:val="Notedefin"/>
        <w:rPr>
          <w:lang w:val="en-GB"/>
        </w:rPr>
      </w:pPr>
    </w:p>
  </w:endnote>
  <w:endnote w:id="3">
    <w:p>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Recognition</w:t>
      </w:r>
      <w:r>
        <w:rPr>
          <w:rFonts w:cstheme="minorHAnsi"/>
          <w:lang w:val="en-GB"/>
        </w:rPr>
        <w:t>: all the credits (or equivalent units) that the student has earned during the mobility and that were specified in the final version of the Learning Agreement as counting towards his/her degree (Table B and, if applicable, B2 of the official template) are recognised by the Sending Institution and count towards the student’s degree without the need to take any further courses or exams.</w:t>
      </w:r>
    </w:p>
  </w:endnote>
  <w:endnote w:id="4">
    <w:p>
      <w:pPr>
        <w:pStyle w:val="Notedefin"/>
        <w:spacing w:before="120" w:after="120"/>
        <w:jc w:val="both"/>
        <w:rPr>
          <w:lang w:val="en-GB"/>
        </w:rPr>
      </w:pPr>
      <w:r>
        <w:rPr>
          <w:rStyle w:val="Appeldenotedefin"/>
          <w:rFonts w:cstheme="minorHAnsi"/>
        </w:rPr>
        <w:endnoteRef/>
      </w:r>
      <w:r>
        <w:rPr>
          <w:rFonts w:cstheme="minorHAnsi"/>
          <w:lang w:val="en-GB"/>
        </w:rPr>
        <w:t xml:space="preserve"> </w:t>
      </w:r>
      <w:r>
        <w:rPr>
          <w:rFonts w:cstheme="minorHAnsi"/>
          <w:b/>
          <w:lang w:val="en-GB"/>
        </w:rPr>
        <w:t>ECTS Users' Guide</w:t>
      </w:r>
      <w:r>
        <w:rPr>
          <w:rFonts w:cstheme="minorHAnsi"/>
          <w:lang w:val="en-GB"/>
        </w:rPr>
        <w:t xml:space="preserve">: </w:t>
      </w:r>
      <w:hyperlink r:id="rId1" w:history="1">
        <w:r>
          <w:rPr>
            <w:rStyle w:val="Lienhypertexte"/>
            <w:rFonts w:cstheme="minorHAnsi"/>
            <w:lang w:val="en-GB"/>
          </w:rPr>
          <w:t>http://ec.europa.eu/education/tools/ects_en.htm</w:t>
        </w:r>
      </w:hyperlink>
    </w:p>
  </w:endnote>
  <w:endnote w:id="5">
    <w:p>
      <w:pPr>
        <w:pStyle w:val="Notedefin"/>
        <w:rPr>
          <w:lang w:val="en-GB"/>
        </w:rPr>
      </w:pPr>
      <w:r>
        <w:rPr>
          <w:rStyle w:val="Appeldenotedefin"/>
        </w:rPr>
        <w:endnoteRef/>
      </w:r>
      <w:r>
        <w:rPr>
          <w:lang w:val="en-GB"/>
        </w:rPr>
        <w:t xml:space="preserve"> </w:t>
      </w:r>
      <w:r>
        <w:rPr>
          <w:rFonts w:cstheme="minorHAnsi"/>
          <w:b/>
          <w:lang w:val="en-GB"/>
        </w:rPr>
        <w:t>EGRACONS Grade Conversion Tool:</w:t>
      </w:r>
      <w:r>
        <w:rPr>
          <w:lang w:val="en-GB"/>
        </w:rPr>
        <w:t xml:space="preserve"> 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w:drawing>
        <wp:anchor distT="0" distB="0" distL="114300" distR="114300" simplePos="0" relativeHeight="251659264" behindDoc="0" locked="0" layoutInCell="1" allowOverlap="1">
          <wp:simplePos x="0" y="0"/>
          <wp:positionH relativeFrom="column">
            <wp:posOffset>554990</wp:posOffset>
          </wp:positionH>
          <wp:positionV relativeFrom="paragraph">
            <wp:posOffset>10160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p>
    <w:pPr>
      <w:tabs>
        <w:tab w:val="left" w:pos="3119"/>
      </w:tabs>
      <w:spacing w:after="0"/>
      <w:rPr>
        <w:rFonts w:ascii="Verdana" w:hAnsi="Verdana" w:cstheme="minorHAnsi"/>
        <w:b/>
        <w:i/>
        <w:color w:val="003CB4"/>
        <w:sz w:val="14"/>
        <w:szCs w:val="14"/>
        <w:lang w:val="en-GB"/>
      </w:rPr>
    </w:pPr>
    <w:r>
      <w:rPr>
        <w:rFonts w:ascii="Verdana" w:hAnsi="Verdana" w:cstheme="minorHAnsi"/>
        <w:sz w:val="14"/>
        <w:szCs w:val="14"/>
        <w:lang w:val="en-GB"/>
      </w:rPr>
      <w:t>E+2020-HESM-Annex V. Iabis- Learning Agreement for studies form-version 30/04/2020</w:t>
    </w:r>
    <w:bookmarkStart w:id="0" w:name="_GoBack"/>
    <w:bookmarkEnd w:id="0"/>
    <w:r>
      <w:rPr>
        <w:rFonts w:ascii="Verdana" w:hAnsi="Verdana" w:cstheme="minorHAnsi"/>
        <w:sz w:val="14"/>
        <w:szCs w:val="14"/>
        <w:lang w:val="en-GB"/>
      </w:rPr>
      <w:t xml:space="preserve"> </w:t>
    </w:r>
  </w:p>
  <w:p>
    <w:pPr>
      <w:pStyle w:val="En-tte"/>
      <w:tabs>
        <w:tab w:val="clear" w:pos="4536"/>
        <w:tab w:val="clear" w:pos="9072"/>
        <w:tab w:val="left" w:pos="152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1CFFB34-E3BC-4548-BF66-166056C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paragraph" w:styleId="Notedebasdepage">
    <w:name w:val="footnote text"/>
    <w:basedOn w:val="Normal"/>
    <w:link w:val="NotedebasdepageCar"/>
    <w:unhideWhenUsed/>
    <w:pPr>
      <w:spacing w:after="0" w:line="240" w:lineRule="auto"/>
    </w:pPr>
    <w:rPr>
      <w:sz w:val="20"/>
      <w:szCs w:val="20"/>
    </w:rPr>
  </w:style>
  <w:style w:type="character" w:customStyle="1" w:styleId="NotedebasdepageCar">
    <w:name w:val="Note de bas de page Car"/>
    <w:basedOn w:val="Policepardfaut"/>
    <w:link w:val="Notedebasdepage"/>
    <w:rPr>
      <w:sz w:val="20"/>
      <w:szCs w:val="20"/>
      <w:lang w:val="it-IT"/>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Pr>
      <w:color w:val="80808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E9DE8CDB-F3A9-4F67-B1B1-A362D439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6</Pages>
  <Words>2216</Words>
  <Characters>12188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DELBASCOURT Mélanie</cp:lastModifiedBy>
  <cp:revision>7</cp:revision>
  <cp:lastPrinted>2018-02-21T14:56:00Z</cp:lastPrinted>
  <dcterms:created xsi:type="dcterms:W3CDTF">2018-03-21T08:49:00Z</dcterms:created>
  <dcterms:modified xsi:type="dcterms:W3CDTF">2020-04-30T11:18:00Z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