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0" w:line="240" w:lineRule="auto"/>
        <w:rPr>
          <w:rFonts w:ascii="Verdana" w:hAnsi="Verdana"/>
          <w:b/>
          <w:color w:val="002060"/>
          <w:sz w:val="18"/>
          <w:szCs w:val="18"/>
          <w:lang w:val="en-GB"/>
        </w:rPr>
      </w:pPr>
    </w:p>
    <w:p>
      <w:pPr>
        <w:tabs>
          <w:tab w:val="center" w:pos="5032"/>
          <w:tab w:val="left" w:pos="7320"/>
        </w:tabs>
        <w:spacing w:before="120" w:after="480"/>
        <w:ind w:left="1680" w:right="1272"/>
        <w:jc w:val="center"/>
        <w:rPr>
          <w:rFonts w:ascii="Verdana" w:hAnsi="Verdana" w:cstheme="minorHAnsi"/>
          <w:b/>
          <w:color w:val="002060"/>
          <w:sz w:val="18"/>
          <w:szCs w:val="18"/>
          <w:lang w:val="en-GB"/>
        </w:rPr>
      </w:pPr>
      <w:r>
        <w:rPr>
          <w:rFonts w:ascii="Verdana" w:hAnsi="Verdana" w:cstheme="minorHAnsi"/>
          <w:b/>
          <w:color w:val="002060"/>
          <w:sz w:val="18"/>
          <w:szCs w:val="18"/>
          <w:lang w:val="en-GB"/>
        </w:rPr>
        <w:t>Guidelines on how to use the Learning Agreement for Studies</w:t>
      </w:r>
    </w:p>
    <w:p>
      <w:pPr>
        <w:spacing w:before="120" w:after="120"/>
        <w:ind w:right="61"/>
        <w:jc w:val="both"/>
        <w:rPr>
          <w:rFonts w:ascii="Verdana" w:hAnsi="Verdana" w:cstheme="minorHAnsi"/>
          <w:b/>
          <w:color w:val="002060"/>
          <w:sz w:val="18"/>
          <w:szCs w:val="18"/>
          <w:lang w:val="en-GB"/>
        </w:rPr>
      </w:pPr>
      <w:r>
        <w:rPr>
          <w:rFonts w:ascii="Verdana" w:hAnsi="Verdana" w:cstheme="minorHAnsi"/>
          <w:sz w:val="18"/>
          <w:szCs w:val="18"/>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pPr>
        <w:spacing w:before="120" w:after="120"/>
        <w:ind w:right="61"/>
        <w:jc w:val="both"/>
        <w:rPr>
          <w:rFonts w:ascii="Verdana" w:hAnsi="Verdana" w:cstheme="minorHAnsi"/>
          <w:sz w:val="18"/>
          <w:szCs w:val="18"/>
          <w:lang w:val="en-GB"/>
        </w:rPr>
      </w:pPr>
      <w:r>
        <w:rPr>
          <w:rFonts w:ascii="Verdana" w:eastAsia="Times New Roman" w:hAnsi="Verdana" w:cstheme="minorHAnsi"/>
          <w:sz w:val="18"/>
          <w:szCs w:val="18"/>
          <w:lang w:val="en-GB"/>
        </w:rPr>
        <w:t xml:space="preserve">This template is applicable to Erasmus+ mobility for studies between Programme Countries </w:t>
      </w:r>
      <w:r>
        <w:rPr>
          <w:lang w:val="en-GB"/>
        </w:rPr>
        <w:t>(</w:t>
      </w:r>
      <w:r>
        <w:rPr>
          <w:rFonts w:eastAsia="Times New Roman" w:cstheme="minorHAnsi"/>
          <w:lang w:val="en-GB"/>
        </w:rPr>
        <w:t>KA103) and to Erasmus+ mobility for studies</w:t>
      </w:r>
      <w:r>
        <w:rPr>
          <w:lang w:val="en-GB"/>
        </w:rPr>
        <w:t xml:space="preserve"> between Programme and Partner Countries (</w:t>
      </w:r>
      <w:r>
        <w:rPr>
          <w:rFonts w:eastAsia="Times New Roman" w:cstheme="minorHAnsi"/>
          <w:lang w:val="en-GB"/>
        </w:rPr>
        <w:t>KA107</w:t>
      </w:r>
      <w:r>
        <w:rPr>
          <w:lang w:val="en-GB"/>
        </w:rPr>
        <w:t>)</w:t>
      </w:r>
      <w:r>
        <w:rPr>
          <w:rFonts w:ascii="Verdana" w:eastAsia="Times New Roman" w:hAnsi="Verdana" w:cstheme="minorHAnsi"/>
          <w:sz w:val="18"/>
          <w:szCs w:val="18"/>
          <w:lang w:val="en-GB"/>
        </w:rPr>
        <w:t>.</w:t>
      </w:r>
      <w:r>
        <w:rPr>
          <w:rFonts w:ascii="Verdana" w:hAnsi="Verdana" w:cstheme="minorHAnsi"/>
          <w:sz w:val="18"/>
          <w:szCs w:val="18"/>
          <w:lang w:val="en-GB"/>
        </w:rPr>
        <w:t xml:space="preserve">It is </w:t>
      </w:r>
      <w:r>
        <w:rPr>
          <w:rFonts w:ascii="Verdana" w:hAnsi="Verdana" w:cstheme="minorHAnsi"/>
          <w:sz w:val="18"/>
          <w:szCs w:val="18"/>
          <w:u w:val="single"/>
          <w:lang w:val="en-GB"/>
        </w:rPr>
        <w:t>recommended</w:t>
      </w:r>
      <w:r>
        <w:rPr>
          <w:rFonts w:ascii="Verdana" w:hAnsi="Verdana" w:cstheme="minorHAnsi"/>
          <w:sz w:val="18"/>
          <w:szCs w:val="18"/>
          <w:lang w:val="en-GB"/>
        </w:rPr>
        <w:t xml:space="preserve"> to use this template. However, if higher education institutions already have an IT system in place to produce the Learning Agreement or the Transcript of Records, they can continue using it, provided that all the minimum requirements listed in this document are made available. Further fields can be added, if needed (e.g. information on the coordinator of a consortium), and the format (e.g. font size and colours) can be adapted.</w:t>
      </w:r>
    </w:p>
    <w:p>
      <w:pPr>
        <w:spacing w:before="120" w:after="120"/>
        <w:ind w:right="61"/>
        <w:jc w:val="center"/>
        <w:rPr>
          <w:rFonts w:ascii="Verdana" w:hAnsi="Verdana" w:cstheme="minorHAnsi"/>
          <w:b/>
          <w:color w:val="002060"/>
          <w:sz w:val="18"/>
          <w:szCs w:val="18"/>
          <w:lang w:val="en-GB"/>
        </w:rPr>
      </w:pPr>
      <w:r>
        <w:rPr>
          <w:rFonts w:ascii="Verdana" w:hAnsi="Verdana" w:cstheme="minorHAnsi"/>
          <w:b/>
          <w:color w:val="002060"/>
          <w:sz w:val="18"/>
          <w:szCs w:val="18"/>
          <w:lang w:val="en-GB"/>
        </w:rPr>
        <w:t>BEFORE THE MOBILITY</w:t>
      </w:r>
    </w:p>
    <w:p>
      <w:pPr>
        <w:spacing w:before="12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Administrative data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Before the mobility, it is necessary to fill in page 1 with information on the student, the Sending and the Receiving Institutions. The three parties have to agree on this section to be completed before the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some administrative data is already available to the three parties, there is no need to repeat it in this template.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On page 1, most of the information related to the student, Sending and Receiving Institutions will have to be encoded in the Mobility Tool+.</w:t>
      </w:r>
    </w:p>
    <w:p>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Educational components (Tables A and B)</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study programme includes the </w:t>
      </w:r>
      <w:r>
        <w:rPr>
          <w:rFonts w:ascii="Verdana" w:hAnsi="Verdana" w:cstheme="minorHAnsi"/>
          <w:b/>
          <w:sz w:val="18"/>
          <w:szCs w:val="18"/>
          <w:lang w:val="en-GB"/>
        </w:rPr>
        <w:t>indicative</w:t>
      </w:r>
      <w:r>
        <w:rPr>
          <w:rFonts w:ascii="Verdana" w:hAnsi="Verdana" w:cstheme="minorHAnsi"/>
          <w:sz w:val="18"/>
          <w:szCs w:val="18"/>
          <w:lang w:val="en-GB"/>
        </w:rPr>
        <w:t xml:space="preserve"> start and end months of the agreed study programme that the student will carry out abroad.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achieved abroad replaces a </w:t>
      </w:r>
      <w:r>
        <w:rPr>
          <w:rFonts w:ascii="Verdana" w:hAnsi="Verdana" w:cstheme="minorHAnsi"/>
          <w:sz w:val="18"/>
          <w:szCs w:val="18"/>
          <w:u w:val="single"/>
          <w:lang w:val="en-GB"/>
        </w:rPr>
        <w:t>group</w:t>
      </w:r>
      <w:r>
        <w:rPr>
          <w:rFonts w:ascii="Verdana" w:hAnsi="Verdana" w:cstheme="minorHAnsi"/>
          <w:sz w:val="18"/>
          <w:szCs w:val="18"/>
          <w:lang w:val="en-GB"/>
        </w:rPr>
        <w:t xml:space="preserve"> of learning outcomes at the Sending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programme outlined in Table A.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w:t>
      </w:r>
      <w:r>
        <w:rPr>
          <w:rFonts w:ascii="Verdana" w:hAnsi="Verdana" w:cstheme="minorHAnsi"/>
          <w:sz w:val="18"/>
          <w:szCs w:val="18"/>
          <w:lang w:val="en-GB"/>
        </w:rPr>
        <w:lastRenderedPageBreak/>
        <w:t>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trPr>
          <w:trHeight w:val="104"/>
        </w:trPr>
        <w:tc>
          <w:tcPr>
            <w:tcW w:w="990" w:type="dxa"/>
            <w:tcBorders>
              <w:top w:val="double" w:sz="6" w:space="0" w:color="auto"/>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Recognition at the Sending Institution</w:t>
            </w:r>
          </w:p>
        </w:tc>
      </w:tr>
      <w:tr>
        <w:trPr>
          <w:trHeight w:val="529"/>
        </w:trPr>
        <w:tc>
          <w:tcPr>
            <w:tcW w:w="990" w:type="dxa"/>
            <w:tcBorders>
              <w:top w:val="nil"/>
              <w:left w:val="double" w:sz="6" w:space="0" w:color="auto"/>
              <w:bottom w:val="nil"/>
              <w:right w:val="nil"/>
            </w:tcBorders>
            <w:shd w:val="clear" w:color="auto" w:fill="auto"/>
            <w:vAlign w:val="center"/>
            <w:hideMark/>
          </w:tcPr>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trPr>
          <w:trHeight w:val="89"/>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xml:space="preserve">   </w:t>
            </w:r>
          </w:p>
        </w:tc>
        <w:tc>
          <w:tcPr>
            <w:tcW w:w="1135" w:type="dxa"/>
            <w:tcBorders>
              <w:top w:val="nil"/>
              <w:left w:val="single" w:sz="8" w:space="0" w:color="auto"/>
              <w:bottom w:val="nil"/>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nil"/>
              <w:right w:val="single" w:sz="8" w:space="0" w:color="auto"/>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trPr>
          <w:trHeight w:val="163"/>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 xml:space="preserve">10 </w:t>
            </w:r>
          </w:p>
        </w:tc>
      </w:tr>
      <w:tr>
        <w:trPr>
          <w:trHeight w:val="96"/>
        </w:trPr>
        <w:tc>
          <w:tcPr>
            <w:tcW w:w="990" w:type="dxa"/>
            <w:tcBorders>
              <w:top w:val="nil"/>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single" w:sz="8" w:space="0" w:color="auto"/>
              <w:right w:val="single" w:sz="8" w:space="0" w:color="auto"/>
            </w:tcBorders>
            <w:shd w:val="clear" w:color="auto" w:fill="auto"/>
            <w:hideMark/>
          </w:tcPr>
          <w:p>
            <w:pPr>
              <w:spacing w:after="0" w:line="240" w:lineRule="auto"/>
              <w:ind w:right="-284"/>
              <w:jc w:val="center"/>
              <w:rPr>
                <w:rFonts w:ascii="Verdana" w:eastAsia="Times New Roman" w:hAnsi="Verdana" w:cstheme="minorHAnsi"/>
                <w:i/>
                <w:iCs/>
                <w:color w:val="000000"/>
                <w:sz w:val="14"/>
                <w:szCs w:val="14"/>
                <w:lang w:val="en-GB" w:eastAsia="en-GB"/>
              </w:rPr>
            </w:pPr>
            <w:r>
              <w:rPr>
                <w:rFonts w:ascii="Verdana" w:hAnsi="Verdana" w:cstheme="minorHAnsi"/>
                <w:i/>
                <w:sz w:val="14"/>
                <w:szCs w:val="14"/>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10</w:t>
            </w:r>
          </w:p>
        </w:tc>
      </w:tr>
      <w:tr>
        <w:trPr>
          <w:trHeight w:val="96"/>
        </w:trPr>
        <w:tc>
          <w:tcPr>
            <w:tcW w:w="990" w:type="dxa"/>
            <w:tcBorders>
              <w:top w:val="nil"/>
              <w:left w:val="double" w:sz="6" w:space="0" w:color="auto"/>
              <w:bottom w:val="nil"/>
              <w:right w:val="nil"/>
            </w:tcBorders>
            <w:shd w:val="clear" w:color="auto" w:fill="auto"/>
            <w:noWrap/>
            <w:vAlign w:val="bottom"/>
          </w:tcPr>
          <w:p>
            <w:pPr>
              <w:spacing w:after="0" w:line="240" w:lineRule="auto"/>
              <w:ind w:right="-284"/>
              <w:rPr>
                <w:rFonts w:ascii="Verdana" w:eastAsia="Times New Roman" w:hAnsi="Verdana" w:cstheme="minorHAnsi"/>
                <w:color w:val="000000"/>
                <w:sz w:val="14"/>
                <w:szCs w:val="14"/>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pPr>
              <w:spacing w:after="0" w:line="240" w:lineRule="auto"/>
              <w:ind w:right="-284"/>
              <w:rPr>
                <w:rFonts w:ascii="Verdana" w:eastAsia="Times New Roman" w:hAnsi="Verdana" w:cstheme="minorHAnsi"/>
                <w:i/>
                <w:iCs/>
                <w:color w:val="000000"/>
                <w:sz w:val="14"/>
                <w:szCs w:val="14"/>
                <w:lang w:val="en-GB" w:eastAsia="en-GB"/>
              </w:rPr>
            </w:pPr>
          </w:p>
        </w:tc>
        <w:tc>
          <w:tcPr>
            <w:tcW w:w="3262" w:type="dxa"/>
            <w:tcBorders>
              <w:top w:val="nil"/>
              <w:left w:val="nil"/>
              <w:bottom w:val="single" w:sz="8" w:space="0" w:color="auto"/>
              <w:right w:val="single" w:sz="8" w:space="0" w:color="auto"/>
            </w:tcBorders>
            <w:shd w:val="clear" w:color="auto" w:fill="auto"/>
          </w:tcPr>
          <w:p>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Thesis research/Doctoral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pPr>
              <w:spacing w:after="0" w:line="240" w:lineRule="auto"/>
              <w:ind w:right="-284"/>
              <w:jc w:val="center"/>
              <w:rPr>
                <w:rFonts w:ascii="Verdana" w:hAnsi="Verdana" w:cstheme="minorHAnsi"/>
                <w:i/>
                <w:sz w:val="14"/>
                <w:szCs w:val="14"/>
                <w:lang w:val="en-GB"/>
              </w:rPr>
            </w:pPr>
          </w:p>
        </w:tc>
        <w:tc>
          <w:tcPr>
            <w:tcW w:w="3962" w:type="dxa"/>
            <w:tcBorders>
              <w:top w:val="single" w:sz="8" w:space="0" w:color="auto"/>
              <w:left w:val="nil"/>
              <w:bottom w:val="single" w:sz="8" w:space="0" w:color="auto"/>
              <w:right w:val="double" w:sz="6" w:space="0" w:color="000000"/>
            </w:tcBorders>
            <w:shd w:val="clear" w:color="auto" w:fill="auto"/>
          </w:tcPr>
          <w:p>
            <w:pPr>
              <w:spacing w:after="0" w:line="240" w:lineRule="auto"/>
              <w:ind w:right="-284"/>
              <w:jc w:val="center"/>
              <w:rPr>
                <w:rFonts w:ascii="Verdana" w:hAnsi="Verdana" w:cstheme="minorHAnsi"/>
                <w:i/>
                <w:sz w:val="14"/>
                <w:szCs w:val="14"/>
                <w:lang w:val="en-GB"/>
              </w:rPr>
            </w:pPr>
            <w:r>
              <w:rPr>
                <w:rFonts w:ascii="Verdana" w:hAnsi="Verdana" w:cstheme="minorHAnsi"/>
                <w:i/>
                <w:sz w:val="14"/>
                <w:szCs w:val="14"/>
                <w:lang w:val="en-GB"/>
              </w:rPr>
              <w:t>10 or "Not applicable"</w:t>
            </w:r>
          </w:p>
        </w:tc>
      </w:tr>
      <w:tr>
        <w:trPr>
          <w:trHeight w:val="155"/>
        </w:trPr>
        <w:tc>
          <w:tcPr>
            <w:tcW w:w="990" w:type="dxa"/>
            <w:tcBorders>
              <w:top w:val="nil"/>
              <w:left w:val="double" w:sz="6" w:space="0" w:color="auto"/>
              <w:bottom w:val="double" w:sz="6"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i/>
                <w:iCs/>
                <w:color w:val="000000"/>
                <w:sz w:val="14"/>
                <w:szCs w:val="14"/>
                <w:lang w:val="en-GB" w:eastAsia="en-GB"/>
              </w:rPr>
            </w:pPr>
            <w:r>
              <w:rPr>
                <w:rFonts w:ascii="Verdana" w:eastAsia="Times New Roman" w:hAnsi="Verdana" w:cstheme="minorHAnsi"/>
                <w:i/>
                <w:iCs/>
                <w:color w:val="000000"/>
                <w:sz w:val="14"/>
                <w:szCs w:val="14"/>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ind w:left="-245"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Total: 40 (</w:t>
            </w:r>
            <w:r>
              <w:rPr>
                <w:rFonts w:ascii="Verdana" w:eastAsia="Times New Roman" w:hAnsi="Verdana" w:cstheme="minorHAnsi"/>
                <w:bCs/>
                <w:color w:val="000000"/>
                <w:sz w:val="14"/>
                <w:szCs w:val="14"/>
                <w:lang w:val="en-GB" w:eastAsia="en-GB"/>
              </w:rPr>
              <w:t xml:space="preserve">or </w:t>
            </w:r>
            <w:r>
              <w:rPr>
                <w:rFonts w:ascii="Verdana" w:eastAsia="Times New Roman" w:hAnsi="Verdana" w:cstheme="minorHAnsi"/>
                <w:bCs/>
                <w:i/>
                <w:color w:val="000000"/>
                <w:sz w:val="14"/>
                <w:szCs w:val="14"/>
                <w:lang w:val="en-GB" w:eastAsia="en-GB"/>
              </w:rPr>
              <w:t>30 if not applicable for Thesis research)</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European Commission encourages institutions to embed </w:t>
      </w:r>
      <w:r>
        <w:rPr>
          <w:rFonts w:ascii="Verdana" w:hAnsi="Verdana" w:cstheme="minorHAnsi"/>
          <w:b/>
          <w:sz w:val="18"/>
          <w:szCs w:val="18"/>
          <w:lang w:val="en-GB"/>
        </w:rPr>
        <w:t>mobility windows</w:t>
      </w:r>
      <w:r>
        <w:rPr>
          <w:rStyle w:val="Appeldenotedefin"/>
          <w:rFonts w:ascii="Verdana" w:hAnsi="Verdana" w:cstheme="minorHAnsi"/>
          <w:sz w:val="18"/>
          <w:szCs w:val="18"/>
          <w:lang w:val="en-GB"/>
        </w:rPr>
        <w:endnoteReference w:id="1"/>
      </w:r>
      <w:r>
        <w:rPr>
          <w:rFonts w:ascii="Verdana" w:hAnsi="Verdana" w:cstheme="minorHAnsi"/>
          <w:b/>
          <w:sz w:val="18"/>
          <w:szCs w:val="18"/>
          <w:lang w:val="en-GB"/>
        </w:rPr>
        <w:t xml:space="preserve"> </w:t>
      </w:r>
      <w:r>
        <w:rPr>
          <w:rFonts w:ascii="Verdana" w:hAnsi="Verdana" w:cstheme="minorHAnsi"/>
          <w:sz w:val="18"/>
          <w:szCs w:val="18"/>
          <w:lang w:val="en-GB"/>
        </w:rPr>
        <w:t xml:space="preserve">in their curricula. Where all credits in Table A are automatically recognised as forming part of the programme at the Sending Institution, typically in the case of </w:t>
      </w:r>
      <w:r>
        <w:rPr>
          <w:rFonts w:ascii="Verdana" w:hAnsi="Verdana" w:cstheme="minorHAnsi"/>
          <w:b/>
          <w:sz w:val="18"/>
          <w:szCs w:val="18"/>
          <w:lang w:val="en-GB"/>
        </w:rPr>
        <w:t>mobility windows</w:t>
      </w:r>
      <w:r>
        <w:rPr>
          <w:rFonts w:ascii="Verdana" w:hAnsi="Verdana" w:cstheme="minorHAnsi"/>
          <w:sz w:val="18"/>
          <w:szCs w:val="18"/>
          <w:lang w:val="en-GB"/>
        </w:rPr>
        <w:t xml:space="preserve">, Table B is </w:t>
      </w:r>
      <w:r>
        <w:rPr>
          <w:rFonts w:ascii="Verdana" w:hAnsi="Verdana" w:cstheme="minorHAnsi"/>
          <w:b/>
          <w:sz w:val="18"/>
          <w:szCs w:val="18"/>
          <w:lang w:val="en-GB"/>
        </w:rPr>
        <w:t>simplified</w:t>
      </w:r>
      <w:r>
        <w:rPr>
          <w:rFonts w:ascii="Verdana" w:hAnsi="Verdana" w:cstheme="minorHAnsi"/>
          <w:sz w:val="18"/>
          <w:szCs w:val="18"/>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trPr>
          <w:trHeight w:val="104"/>
        </w:trPr>
        <w:tc>
          <w:tcPr>
            <w:tcW w:w="989" w:type="dxa"/>
            <w:tcBorders>
              <w:top w:val="double" w:sz="6" w:space="0" w:color="auto"/>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pPr>
              <w:spacing w:after="0" w:line="240" w:lineRule="auto"/>
              <w:ind w:right="-284"/>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t xml:space="preserve">Recognition at the Sending Institution </w:t>
            </w:r>
          </w:p>
          <w:p>
            <w:pPr>
              <w:spacing w:after="0" w:line="240" w:lineRule="auto"/>
              <w:ind w:right="-284"/>
              <w:jc w:val="center"/>
              <w:rPr>
                <w:rFonts w:ascii="Verdana" w:eastAsia="Times New Roman" w:hAnsi="Verdana" w:cstheme="minorHAnsi"/>
                <w:b/>
                <w:bCs/>
                <w:i/>
                <w:iCs/>
                <w:color w:val="000000"/>
                <w:sz w:val="14"/>
                <w:szCs w:val="14"/>
                <w:lang w:val="en-GB" w:eastAsia="en-GB"/>
              </w:rPr>
            </w:pPr>
          </w:p>
        </w:tc>
      </w:tr>
      <w:tr>
        <w:trPr>
          <w:trHeight w:val="529"/>
        </w:trPr>
        <w:tc>
          <w:tcPr>
            <w:tcW w:w="989" w:type="dxa"/>
            <w:tcBorders>
              <w:top w:val="nil"/>
              <w:left w:val="double" w:sz="6" w:space="0" w:color="auto"/>
              <w:bottom w:val="nil"/>
              <w:right w:val="nil"/>
            </w:tcBorders>
            <w:shd w:val="clear" w:color="auto" w:fill="auto"/>
            <w:vAlign w:val="center"/>
            <w:hideMark/>
          </w:tcPr>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B</w:t>
            </w:r>
          </w:p>
          <w:p>
            <w:pPr>
              <w:spacing w:after="0" w:line="240" w:lineRule="auto"/>
              <w:ind w:left="-239"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Component code </w:t>
            </w:r>
          </w:p>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Cs/>
                <w:color w:val="000000"/>
                <w:sz w:val="14"/>
                <w:szCs w:val="14"/>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 Sending Institution</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(as indicated in the course catalogue)</w:t>
            </w:r>
            <w:r>
              <w:rPr>
                <w:rFonts w:ascii="Verdana" w:eastAsia="Times New Roman" w:hAnsi="Verdana" w:cstheme="minorHAnsi"/>
                <w:b/>
                <w:bCs/>
                <w:color w:val="000000"/>
                <w:sz w:val="14"/>
                <w:szCs w:val="14"/>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Semester </w:t>
            </w:r>
            <w:r>
              <w:rPr>
                <w:rFonts w:ascii="Verdana" w:eastAsia="Times New Roman" w:hAnsi="Verdana" w:cstheme="minorHAnsi"/>
                <w:b/>
                <w:bCs/>
                <w:color w:val="000000"/>
                <w:sz w:val="14"/>
                <w:szCs w:val="14"/>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 to be recognised by the Sending Institution</w:t>
            </w:r>
          </w:p>
        </w:tc>
      </w:tr>
      <w:tr>
        <w:trPr>
          <w:trHeight w:val="89"/>
        </w:trPr>
        <w:tc>
          <w:tcPr>
            <w:tcW w:w="989" w:type="dxa"/>
            <w:tcBorders>
              <w:top w:val="nil"/>
              <w:left w:val="double" w:sz="6" w:space="0" w:color="auto"/>
              <w:bottom w:val="double" w:sz="6" w:space="0" w:color="000000"/>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r>
              <w:rPr>
                <w:rFonts w:ascii="Verdana" w:hAnsi="Verdana" w:cstheme="minorHAnsi"/>
                <w:i/>
                <w:sz w:val="14"/>
                <w:szCs w:val="14"/>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Total: </w:t>
            </w:r>
            <w:r>
              <w:rPr>
                <w:rFonts w:ascii="Verdana" w:eastAsia="Times New Roman" w:hAnsi="Verdana" w:cstheme="minorHAnsi"/>
                <w:bCs/>
                <w:i/>
                <w:color w:val="000000"/>
                <w:sz w:val="14"/>
                <w:szCs w:val="14"/>
                <w:lang w:val="en-GB" w:eastAsia="en-GB"/>
              </w:rPr>
              <w:t>30</w:t>
            </w:r>
            <w:r>
              <w:rPr>
                <w:rFonts w:ascii="Verdana" w:eastAsia="Times New Roman" w:hAnsi="Verdana" w:cstheme="minorHAnsi"/>
                <w:b/>
                <w:bCs/>
                <w:color w:val="000000"/>
                <w:sz w:val="14"/>
                <w:szCs w:val="14"/>
                <w:lang w:val="en-GB" w:eastAsia="en-GB"/>
              </w:rPr>
              <w:t> </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must foresee which provisions will apply if the student does not successfully complete some of the educational components from his study programme abroad, by providing a web link.</w:t>
      </w:r>
    </w:p>
    <w:p>
      <w:pPr>
        <w:spacing w:before="240" w:after="120"/>
        <w:ind w:right="61"/>
        <w:jc w:val="both"/>
        <w:rPr>
          <w:rFonts w:ascii="Verdana" w:hAnsi="Verdana" w:cstheme="minorHAnsi"/>
          <w:sz w:val="18"/>
          <w:szCs w:val="18"/>
          <w:u w:val="single"/>
          <w:lang w:val="en-GB"/>
        </w:rPr>
      </w:pPr>
      <w:r>
        <w:rPr>
          <w:rFonts w:ascii="Verdana" w:hAnsi="Verdana" w:cstheme="minorHAnsi"/>
          <w:b/>
          <w:sz w:val="18"/>
          <w:szCs w:val="18"/>
          <w:u w:val="single"/>
          <w:lang w:val="en-GB"/>
        </w:rPr>
        <w:t>Language competence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the level of the selected student is below the recommended one when signing the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w:t>
      </w:r>
    </w:p>
    <w:p>
      <w:pPr>
        <w:spacing w:before="120" w:after="120"/>
        <w:ind w:right="61"/>
        <w:jc w:val="both"/>
        <w:rPr>
          <w:rFonts w:ascii="Verdana" w:hAnsi="Verdana" w:cstheme="minorHAnsi"/>
          <w:sz w:val="18"/>
          <w:szCs w:val="18"/>
          <w:lang w:val="en-GB"/>
        </w:rPr>
      </w:pPr>
      <w:r>
        <w:rPr>
          <w:rFonts w:ascii="Verdana" w:hAnsi="Verdana" w:cstheme="minorHAnsi"/>
          <w:b/>
          <w:sz w:val="18"/>
          <w:szCs w:val="18"/>
          <w:lang w:val="en-GB"/>
        </w:rPr>
        <w:t>The Erasmus+ Online Linguistic Support (OLS)</w:t>
      </w:r>
      <w:r>
        <w:rPr>
          <w:rFonts w:ascii="Verdana" w:hAnsi="Verdana" w:cstheme="minorHAnsi"/>
          <w:sz w:val="18"/>
          <w:szCs w:val="18"/>
          <w:lang w:val="en-GB"/>
        </w:rPr>
        <w:t xml:space="preserve"> has been designed to assist Erasmus+ students in improving their knowledge of the main language of instruction, before and during their stay abroad, to ensure a better quality of learning mobility.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completion of the OLS assessment before departure is a pre-requisite for the mobility. This assessment will be taken after the student is selected, before signing the Learning Agreement or, alternatively, the grant agreement.</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Based on the results of the OLS assessment, the Sending Institution may allocate an OLS language course to the students who wish to improve their language competences. Mobility participants with a level B2 or higher at the first language assessment in their main language of instruction have the opportunity to follow an OLS language course either in that language or in the local language of the country, provided it is available in the OLS. It is up to the Sending Institution to indicate this choice directly in the OLS.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More opportunities for participants following the OLS language courses (OLS Live Coaching: MOOCs, Forum and Tutoring sessions) are available at </w:t>
      </w:r>
      <w:hyperlink r:id="rId11" w:history="1">
        <w:r>
          <w:rPr>
            <w:rStyle w:val="Lienhypertexte"/>
            <w:rFonts w:ascii="Verdana" w:hAnsi="Verdana" w:cstheme="minorHAnsi"/>
            <w:sz w:val="18"/>
            <w:szCs w:val="18"/>
            <w:lang w:val="en-GB"/>
          </w:rPr>
          <w:t>http://erasmusplusols.eu</w:t>
        </w:r>
      </w:hyperlink>
      <w:r>
        <w:rPr>
          <w:rStyle w:val="Lienhypertexte"/>
          <w:rFonts w:ascii="Verdana" w:hAnsi="Verdana" w:cstheme="minorHAnsi"/>
          <w:sz w:val="18"/>
          <w:szCs w:val="18"/>
          <w:lang w:val="en-GB"/>
        </w:rPr>
        <w:t>.</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Signing the Learning Agreement</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pPr>
        <w:spacing w:before="36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DURING THE MOBILITY</w:t>
      </w:r>
    </w:p>
    <w:p>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Exceptional Changes to the Study Programme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Changes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Any party can request changes to the study programme within five weeks after the start of each semester. These changes should be agreed by all parties as soon as possible, within two-weeks following the request.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due to an extension of the duration of the mobility, a request can be made by the student at the latest one month before the foreseen end date.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trPr>
          <w:trHeight w:val="79"/>
        </w:trPr>
        <w:tc>
          <w:tcPr>
            <w:tcW w:w="884" w:type="dxa"/>
            <w:tcBorders>
              <w:top w:val="double" w:sz="6" w:space="0" w:color="000000"/>
              <w:left w:val="double" w:sz="6" w:space="0" w:color="auto"/>
              <w:bottom w:val="nil"/>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pPr>
              <w:spacing w:after="0" w:line="240" w:lineRule="auto"/>
              <w:ind w:right="-284"/>
              <w:jc w:val="center"/>
              <w:rPr>
                <w:rFonts w:ascii="Verdana" w:eastAsia="Times New Roman" w:hAnsi="Verdana" w:cstheme="minorHAnsi"/>
                <w:b/>
                <w:color w:val="000000"/>
                <w:sz w:val="14"/>
                <w:szCs w:val="14"/>
                <w:lang w:val="en-GB" w:eastAsia="en-GB"/>
              </w:rPr>
            </w:pPr>
            <w:r>
              <w:rPr>
                <w:rFonts w:ascii="Verdana" w:eastAsia="Times New Roman" w:hAnsi="Verdana" w:cstheme="minorHAnsi"/>
                <w:b/>
                <w:color w:val="000000"/>
                <w:sz w:val="14"/>
                <w:szCs w:val="14"/>
                <w:lang w:val="en-GB" w:eastAsia="en-GB"/>
              </w:rPr>
              <w:t>Exceptional changes to Table A</w:t>
            </w:r>
          </w:p>
          <w:p>
            <w:pPr>
              <w:spacing w:after="0" w:line="240" w:lineRule="auto"/>
              <w:ind w:left="-97" w:right="165"/>
              <w:jc w:val="center"/>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(to be approved by e-mail or signature by the student, the responsible person in the Sending Institution and the responsible person in the Receiving Institution)</w:t>
            </w:r>
          </w:p>
        </w:tc>
      </w:tr>
      <w:tr>
        <w:trPr>
          <w:trHeight w:val="677"/>
        </w:trPr>
        <w:tc>
          <w:tcPr>
            <w:tcW w:w="884" w:type="dxa"/>
            <w:tcBorders>
              <w:top w:val="nil"/>
              <w:left w:val="double" w:sz="6" w:space="0" w:color="auto"/>
              <w:bottom w:val="nil"/>
              <w:right w:val="single" w:sz="8" w:space="0" w:color="auto"/>
            </w:tcBorders>
            <w:shd w:val="clear" w:color="auto" w:fill="auto"/>
            <w:vAlign w:val="center"/>
            <w:hideMark/>
          </w:tcPr>
          <w:p>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Table A2</w:t>
            </w:r>
          </w:p>
          <w:p>
            <w:pPr>
              <w:spacing w:after="0" w:line="240" w:lineRule="auto"/>
              <w:ind w:left="-64" w:right="-11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left="45" w:right="-129"/>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 Component  code </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 xml:space="preserve"> (if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left="5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Component title at the</w:t>
            </w:r>
            <w:r>
              <w:rPr>
                <w:rFonts w:ascii="Verdana" w:eastAsia="Times New Roman" w:hAnsi="Verdana" w:cstheme="minorHAnsi"/>
                <w:bCs/>
                <w:color w:val="000000"/>
                <w:sz w:val="14"/>
                <w:szCs w:val="14"/>
                <w:lang w:val="en-GB" w:eastAsia="en-GB"/>
              </w:rPr>
              <w:t xml:space="preserve"> </w:t>
            </w:r>
            <w:r>
              <w:rPr>
                <w:rFonts w:ascii="Verdana" w:eastAsia="Times New Roman" w:hAnsi="Verdana" w:cstheme="minorHAnsi"/>
                <w:b/>
                <w:bCs/>
                <w:color w:val="000000"/>
                <w:sz w:val="14"/>
                <w:szCs w:val="14"/>
                <w:lang w:val="en-GB" w:eastAsia="en-GB"/>
              </w:rPr>
              <w:t xml:space="preserve">Receiving Institution </w:t>
            </w:r>
            <w:r>
              <w:rPr>
                <w:rFonts w:ascii="Verdana" w:eastAsia="Times New Roman" w:hAnsi="Verdana" w:cstheme="minorHAnsi"/>
                <w:bCs/>
                <w:color w:val="000000"/>
                <w:sz w:val="14"/>
                <w:szCs w:val="14"/>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Deleted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Added component</w:t>
            </w:r>
            <w:r>
              <w:rPr>
                <w:rFonts w:ascii="Verdana" w:eastAsia="Times New Roman" w:hAnsi="Verdana" w:cstheme="minorHAnsi"/>
                <w:b/>
                <w:bCs/>
                <w:color w:val="000000"/>
                <w:sz w:val="14"/>
                <w:szCs w:val="14"/>
                <w:lang w:val="en-GB" w:eastAsia="en-GB"/>
              </w:rPr>
              <w:br/>
            </w:r>
            <w:r>
              <w:rPr>
                <w:rFonts w:ascii="Verdana" w:eastAsia="Times New Roman" w:hAnsi="Verdana" w:cstheme="minorHAnsi"/>
                <w:bCs/>
                <w:color w:val="000000"/>
                <w:sz w:val="14"/>
                <w:szCs w:val="14"/>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Reason for change</w:t>
            </w:r>
            <w:r>
              <w:rPr>
                <w:rStyle w:val="Appeldenotedefin"/>
                <w:rFonts w:ascii="Verdana" w:eastAsia="Times New Roman" w:hAnsi="Verdana" w:cstheme="minorHAnsi"/>
                <w:b/>
                <w:bCs/>
                <w:color w:val="000000"/>
                <w:sz w:val="14"/>
                <w:szCs w:val="14"/>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pPr>
              <w:spacing w:after="0" w:line="240" w:lineRule="auto"/>
              <w:ind w:right="165"/>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Number of ECTS  credits (or equivalent)</w:t>
            </w:r>
          </w:p>
        </w:tc>
      </w:tr>
      <w:tr>
        <w:trPr>
          <w:trHeight w:val="108"/>
        </w:trPr>
        <w:tc>
          <w:tcPr>
            <w:tcW w:w="884" w:type="dxa"/>
            <w:tcBorders>
              <w:top w:val="nil"/>
              <w:left w:val="double" w:sz="6" w:space="0" w:color="auto"/>
              <w:bottom w:val="nil"/>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nil"/>
              <w:left w:val="nil"/>
              <w:bottom w:val="nil"/>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XXX</w:t>
            </w:r>
          </w:p>
        </w:tc>
        <w:tc>
          <w:tcPr>
            <w:tcW w:w="99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61720181"/>
                <w14:checkbox>
                  <w14:checked w14:val="1"/>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972"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926966182"/>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 xml:space="preserve"> 5 </w:t>
            </w:r>
          </w:p>
        </w:tc>
      </w:tr>
      <w:tr>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pPr>
              <w:spacing w:after="0" w:line="240" w:lineRule="auto"/>
              <w:ind w:right="-284"/>
              <w:rPr>
                <w:rFonts w:ascii="Verdana" w:eastAsia="Times New Roman" w:hAnsi="Verdana" w:cstheme="minorHAnsi"/>
                <w:color w:val="0000FF"/>
                <w:sz w:val="14"/>
                <w:szCs w:val="14"/>
                <w:lang w:val="en-GB" w:eastAsia="en-GB"/>
              </w:rPr>
            </w:pPr>
            <w:r>
              <w:rPr>
                <w:rFonts w:ascii="Verdana" w:eastAsia="Times New Roman" w:hAnsi="Verdana" w:cstheme="minorHAnsi"/>
                <w:color w:val="0000FF"/>
                <w:sz w:val="14"/>
                <w:szCs w:val="14"/>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r>
              <w:rPr>
                <w:rFonts w:ascii="Verdana" w:hAnsi="Verdana" w:cstheme="minorHAnsi"/>
                <w:i/>
                <w:sz w:val="14"/>
                <w:szCs w:val="14"/>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359479298"/>
                <w14:checkbox>
                  <w14:checked w14:val="0"/>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
                <w:bCs/>
                <w:color w:val="000000"/>
                <w:sz w:val="14"/>
                <w:szCs w:val="14"/>
                <w:lang w:val="en-GB" w:eastAsia="en-GB"/>
              </w:rPr>
            </w:pPr>
            <w:sdt>
              <w:sdtPr>
                <w:rPr>
                  <w:rFonts w:ascii="Verdana" w:eastAsia="Times New Roman" w:hAnsi="Verdana" w:cstheme="minorHAnsi"/>
                  <w:iCs/>
                  <w:color w:val="000000"/>
                  <w:sz w:val="14"/>
                  <w:szCs w:val="14"/>
                  <w:lang w:val="en-GB" w:eastAsia="en-GB"/>
                </w:rPr>
                <w:id w:val="1224877862"/>
                <w14:checkbox>
                  <w14:checked w14:val="1"/>
                  <w14:checkedState w14:val="2612" w14:font="MS Gothic"/>
                  <w14:uncheckedState w14:val="2610" w14:font="MS Gothic"/>
                </w14:checkbox>
              </w:sdtPr>
              <w:sdtContent>
                <w:r>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heme="minorHAnsi"/>
              <w:bCs/>
              <w:color w:val="000000"/>
              <w:sz w:val="14"/>
              <w:szCs w:val="14"/>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pPr>
                  <w:spacing w:after="0" w:line="240" w:lineRule="auto"/>
                  <w:ind w:right="-284"/>
                  <w:jc w:val="center"/>
                  <w:rPr>
                    <w:rFonts w:ascii="Verdana" w:eastAsia="Times New Roman" w:hAnsi="Verdana" w:cstheme="minorHAnsi"/>
                    <w:bCs/>
                    <w:color w:val="000000"/>
                    <w:sz w:val="14"/>
                    <w:szCs w:val="14"/>
                    <w:lang w:val="en-GB" w:eastAsia="en-GB"/>
                  </w:rPr>
                </w:pPr>
                <w:r>
                  <w:rPr>
                    <w:rStyle w:val="Textedelespacerserv"/>
                    <w:rFonts w:ascii="Verdana" w:hAnsi="Verdana"/>
                    <w:sz w:val="14"/>
                    <w:szCs w:val="14"/>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pPr>
              <w:spacing w:after="0" w:line="240" w:lineRule="auto"/>
              <w:ind w:right="-284"/>
              <w:jc w:val="center"/>
              <w:rPr>
                <w:rFonts w:ascii="Verdana" w:eastAsia="Times New Roman" w:hAnsi="Verdana" w:cstheme="minorHAnsi"/>
                <w:bCs/>
                <w:i/>
                <w:color w:val="000000"/>
                <w:sz w:val="14"/>
                <w:szCs w:val="14"/>
                <w:lang w:val="en-GB" w:eastAsia="en-GB"/>
              </w:rPr>
            </w:pPr>
            <w:r>
              <w:rPr>
                <w:rFonts w:ascii="Verdana" w:eastAsia="Times New Roman" w:hAnsi="Verdana" w:cstheme="minorHAnsi"/>
                <w:bCs/>
                <w:i/>
                <w:color w:val="000000"/>
                <w:sz w:val="14"/>
                <w:szCs w:val="14"/>
                <w:lang w:val="en-GB" w:eastAsia="en-GB"/>
              </w:rPr>
              <w:t>8</w:t>
            </w:r>
          </w:p>
        </w:tc>
      </w:tr>
    </w:tbl>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Table B2 should be completed only if the changes described in Table A2 affect the group of educational components agreed in Table B.</w:t>
      </w:r>
    </w:p>
    <w:p>
      <w:pPr>
        <w:spacing w:before="120" w:after="120"/>
        <w:ind w:right="61"/>
        <w:rPr>
          <w:rFonts w:ascii="Verdana" w:hAnsi="Verdana" w:cstheme="minorHAnsi"/>
          <w:b/>
          <w:color w:val="002060"/>
          <w:sz w:val="18"/>
          <w:szCs w:val="18"/>
          <w:u w:val="single"/>
          <w:lang w:val="en-GB"/>
        </w:rPr>
      </w:pPr>
    </w:p>
    <w:p>
      <w:pPr>
        <w:keepNext/>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Changes of the Responsible person(s)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xml:space="preserve">Email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pPr>
              <w:spacing w:after="0" w:line="240" w:lineRule="auto"/>
              <w:ind w:right="-284"/>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r>
      <w:tr>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single" w:sz="8"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r>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409" w:type="dxa"/>
            <w:tcBorders>
              <w:top w:val="nil"/>
              <w:left w:val="nil"/>
              <w:bottom w:val="double" w:sz="6" w:space="0" w:color="auto"/>
              <w:right w:val="nil"/>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pPr>
              <w:spacing w:after="0" w:line="240" w:lineRule="auto"/>
              <w:ind w:right="-284"/>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r>
    </w:tbl>
    <w:p>
      <w:pPr>
        <w:spacing w:before="240" w:after="120"/>
        <w:ind w:right="61"/>
        <w:rPr>
          <w:rFonts w:ascii="Verdana" w:hAnsi="Verdana" w:cstheme="minorHAnsi"/>
          <w:b/>
          <w:sz w:val="18"/>
          <w:szCs w:val="18"/>
          <w:u w:val="single"/>
          <w:lang w:val="en-GB"/>
        </w:rPr>
      </w:pPr>
      <w:r>
        <w:rPr>
          <w:rFonts w:ascii="Verdana" w:hAnsi="Verdana" w:cstheme="minorHAnsi"/>
          <w:b/>
          <w:sz w:val="18"/>
          <w:szCs w:val="18"/>
          <w:u w:val="single"/>
          <w:lang w:val="en-GB"/>
        </w:rPr>
        <w:t>Confirming the Changes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All parties must approve the changes to the Learning Agreement. The European Commission would like to limit the use of paper for exchanging documents and it is therefore accepted to exchange information electronically, e.g. via email, scanned or digital signatures, etc. without the need of a paper signature. However, if national legislations or institutional regulations require paper signatures, a signature box should be added where needed.</w:t>
      </w:r>
    </w:p>
    <w:p>
      <w:pPr>
        <w:spacing w:before="120" w:after="120"/>
        <w:ind w:left="-567" w:right="-284"/>
        <w:jc w:val="center"/>
        <w:rPr>
          <w:rFonts w:ascii="Verdana" w:hAnsi="Verdana" w:cstheme="minorHAnsi"/>
          <w:b/>
          <w:color w:val="002060"/>
          <w:sz w:val="18"/>
          <w:szCs w:val="18"/>
          <w:lang w:val="en-GB"/>
        </w:rPr>
      </w:pPr>
    </w:p>
    <w:p>
      <w:pPr>
        <w:spacing w:before="120" w:after="120"/>
        <w:ind w:left="-567" w:right="-284"/>
        <w:jc w:val="center"/>
        <w:rPr>
          <w:rFonts w:ascii="Verdana" w:hAnsi="Verdana" w:cstheme="minorHAnsi"/>
          <w:b/>
          <w:color w:val="002060"/>
          <w:sz w:val="18"/>
          <w:szCs w:val="18"/>
          <w:lang w:val="en-GB"/>
        </w:rPr>
      </w:pPr>
      <w:r>
        <w:rPr>
          <w:rFonts w:ascii="Verdana" w:hAnsi="Verdana" w:cstheme="minorHAnsi"/>
          <w:b/>
          <w:color w:val="002060"/>
          <w:sz w:val="18"/>
          <w:szCs w:val="18"/>
          <w:lang w:val="en-GB"/>
        </w:rPr>
        <w:t>AFTER THE MOBILITY</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Transcript of Records at the Receiving Institution (Table C)</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After the mobility,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It can be provided electronically or through any other means accessible to the student and the Sending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Transcript of Records from the Receiving Institution (Table C) should refer to the educational components agreed in Table A and, where applicable, in Table A2. Grade distribution information should be included (web link or annex). </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 xml:space="preserve">The actual start and end dates of the study period should be included according to the following definitions: </w:t>
      </w:r>
    </w:p>
    <w:p>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start date</w:t>
      </w:r>
      <w:r>
        <w:rPr>
          <w:rFonts w:ascii="Verdana" w:hAnsi="Verdana"/>
          <w:sz w:val="18"/>
          <w:szCs w:val="18"/>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pPr>
        <w:rPr>
          <w:rFonts w:ascii="Verdana" w:hAnsi="Verdana"/>
          <w:sz w:val="18"/>
          <w:szCs w:val="18"/>
          <w:lang w:val="en-GB"/>
        </w:rPr>
      </w:pPr>
      <w:r>
        <w:rPr>
          <w:rFonts w:ascii="Verdana" w:hAnsi="Verdana"/>
          <w:sz w:val="18"/>
          <w:szCs w:val="18"/>
          <w:lang w:val="en-GB"/>
        </w:rPr>
        <w:t xml:space="preserve">The </w:t>
      </w:r>
      <w:r>
        <w:rPr>
          <w:rFonts w:ascii="Verdana" w:hAnsi="Verdana"/>
          <w:b/>
          <w:sz w:val="18"/>
          <w:szCs w:val="18"/>
          <w:lang w:val="en-GB"/>
        </w:rPr>
        <w:t>end date</w:t>
      </w:r>
      <w:r>
        <w:rPr>
          <w:rFonts w:ascii="Verdana" w:hAnsi="Verdana"/>
          <w:sz w:val="18"/>
          <w:szCs w:val="18"/>
          <w:lang w:val="en-GB"/>
        </w:rPr>
        <w:t xml:space="preserve"> of the study period is the last day the student had to be present at the Receiving Institution, not his actual date of departure. This is, for example, the end of exams period, courses or mandatory sitting period.</w:t>
      </w:r>
    </w:p>
    <w:p>
      <w:pPr>
        <w:spacing w:before="240" w:after="120"/>
        <w:ind w:right="61"/>
        <w:jc w:val="both"/>
        <w:rPr>
          <w:rFonts w:ascii="Verdana" w:hAnsi="Verdana" w:cstheme="minorHAnsi"/>
          <w:sz w:val="18"/>
          <w:szCs w:val="18"/>
          <w:lang w:val="en-GB"/>
        </w:rPr>
      </w:pPr>
      <w:r>
        <w:rPr>
          <w:rFonts w:ascii="Verdana" w:hAnsi="Verdana" w:cstheme="minorHAnsi"/>
          <w:b/>
          <w:sz w:val="18"/>
          <w:szCs w:val="18"/>
          <w:u w:val="single"/>
          <w:lang w:val="en-GB"/>
        </w:rPr>
        <w:t>Transcript of Records and Recognition</w:t>
      </w:r>
      <w:r>
        <w:rPr>
          <w:rStyle w:val="Appeldenotedefin"/>
          <w:rFonts w:ascii="Verdana" w:hAnsi="Verdana" w:cstheme="minorHAnsi"/>
          <w:b/>
          <w:sz w:val="18"/>
          <w:szCs w:val="18"/>
          <w:u w:val="single"/>
          <w:lang w:val="en-GB"/>
        </w:rPr>
        <w:endnoteReference w:id="3"/>
      </w:r>
      <w:r>
        <w:rPr>
          <w:rFonts w:ascii="Verdana" w:hAnsi="Verdana" w:cstheme="minorHAnsi"/>
          <w:b/>
          <w:sz w:val="18"/>
          <w:szCs w:val="18"/>
          <w:u w:val="single"/>
          <w:lang w:val="en-GB"/>
        </w:rPr>
        <w:t xml:space="preserve"> at the Sending Institution (Table D)</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(or equivalent) contained in Table B (and, if applicable, B2) and count them towards the student’s degree, without the need for the student to take any further courses or exams.</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Pr>
          <w:rStyle w:val="Appeldenotedefin"/>
          <w:rFonts w:ascii="Verdana" w:hAnsi="Verdana" w:cstheme="minorHAnsi"/>
          <w:sz w:val="18"/>
          <w:szCs w:val="18"/>
          <w:lang w:val="en-GB"/>
        </w:rPr>
        <w:endnoteReference w:id="4"/>
      </w:r>
      <w:r>
        <w:rPr>
          <w:rFonts w:ascii="Verdana" w:hAnsi="Verdana" w:cstheme="minorHAnsi"/>
          <w:sz w:val="18"/>
          <w:szCs w:val="18"/>
          <w:lang w:val="en-GB"/>
        </w:rPr>
        <w:t>). The European Commission encourages institutions to use the EGRACONS</w:t>
      </w:r>
      <w:r>
        <w:rPr>
          <w:rStyle w:val="Appeldenotedefin"/>
          <w:rFonts w:ascii="Verdana" w:hAnsi="Verdana" w:cstheme="minorHAnsi"/>
          <w:sz w:val="18"/>
          <w:szCs w:val="18"/>
          <w:lang w:val="en-GB"/>
        </w:rPr>
        <w:endnoteReference w:id="5"/>
      </w:r>
      <w:r>
        <w:rPr>
          <w:rFonts w:ascii="Verdana" w:hAnsi="Verdana" w:cstheme="minorHAnsi"/>
          <w:sz w:val="18"/>
          <w:szCs w:val="18"/>
          <w:lang w:val="en-GB"/>
        </w:rPr>
        <w:t xml:space="preserve"> tool for this purpose.</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pPr>
        <w:spacing w:before="120" w:after="120"/>
        <w:ind w:right="61"/>
        <w:jc w:val="both"/>
        <w:rPr>
          <w:rFonts w:ascii="Verdana" w:hAnsi="Verdana" w:cstheme="minorHAnsi"/>
          <w:sz w:val="18"/>
          <w:szCs w:val="18"/>
          <w:lang w:val="en-GB"/>
        </w:rPr>
      </w:pPr>
      <w:r>
        <w:rPr>
          <w:rFonts w:ascii="Verdana" w:hAnsi="Verdana" w:cstheme="minorHAnsi"/>
          <w:sz w:val="18"/>
          <w:szCs w:val="18"/>
          <w:lang w:val="en-GB"/>
        </w:rPr>
        <w:t>The student will be able to report on the recognition by the Sending Institution via the on-line EU survey or a complementary online survey.</w:t>
      </w:r>
    </w:p>
    <w:p>
      <w:pPr>
        <w:spacing w:before="240" w:after="120"/>
        <w:ind w:right="61"/>
        <w:jc w:val="both"/>
        <w:rPr>
          <w:rFonts w:ascii="Verdana" w:hAnsi="Verdana" w:cstheme="minorHAnsi"/>
          <w:b/>
          <w:sz w:val="18"/>
          <w:szCs w:val="18"/>
          <w:u w:val="single"/>
          <w:lang w:val="en-GB"/>
        </w:rPr>
      </w:pPr>
      <w:r>
        <w:rPr>
          <w:rFonts w:ascii="Verdana" w:hAnsi="Verdana" w:cstheme="minorHAnsi"/>
          <w:b/>
          <w:sz w:val="18"/>
          <w:szCs w:val="18"/>
          <w:u w:val="single"/>
          <w:lang w:val="en-GB"/>
        </w:rPr>
        <w:t xml:space="preserve">Diploma Supplement: </w:t>
      </w:r>
      <w:r>
        <w:rPr>
          <w:rFonts w:ascii="Verdana" w:hAnsi="Verdana" w:cstheme="minorHAnsi"/>
          <w:sz w:val="18"/>
          <w:szCs w:val="18"/>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Pr>
          <w:rFonts w:ascii="Verdana" w:hAnsi="Verdana" w:cstheme="minorHAnsi"/>
          <w:sz w:val="18"/>
          <w:szCs w:val="18"/>
          <w:lang w:val="en-GB"/>
        </w:rPr>
        <w:br w:type="page"/>
      </w:r>
    </w:p>
    <w:p>
      <w:pPr>
        <w:spacing w:before="120" w:after="120"/>
        <w:ind w:left="-567" w:right="-284"/>
        <w:jc w:val="both"/>
        <w:rPr>
          <w:rFonts w:ascii="Verdana" w:hAnsi="Verdana" w:cstheme="minorHAnsi"/>
          <w:sz w:val="18"/>
          <w:szCs w:val="18"/>
          <w:lang w:val="en-GB"/>
        </w:rPr>
      </w:pPr>
    </w:p>
    <w:p>
      <w:pPr>
        <w:pStyle w:val="Titre4"/>
        <w:keepNext w:val="0"/>
        <w:numPr>
          <w:ilvl w:val="0"/>
          <w:numId w:val="0"/>
        </w:numPr>
        <w:tabs>
          <w:tab w:val="left" w:pos="2977"/>
          <w:tab w:val="left" w:pos="7371"/>
        </w:tabs>
        <w:jc w:val="center"/>
        <w:rPr>
          <w:rFonts w:ascii="Verdana" w:hAnsi="Verdana" w:cstheme="minorHAnsi"/>
          <w:b/>
          <w:color w:val="002060"/>
          <w:sz w:val="18"/>
          <w:szCs w:val="18"/>
          <w:lang w:val="en-GB"/>
        </w:rPr>
      </w:pPr>
      <w:r>
        <w:rPr>
          <w:rFonts w:ascii="Verdana" w:hAnsi="Verdana" w:cstheme="minorHAnsi"/>
          <w:b/>
          <w:noProof/>
          <w:color w:val="002060"/>
          <w:sz w:val="18"/>
          <w:szCs w:val="18"/>
          <w:lang w:val="fr-BE" w:eastAsia="fr-BE"/>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pPr>
                        <w:spacing w:after="0"/>
                        <w:jc w:val="both"/>
                        <w:rPr>
                          <w:rFonts w:ascii="Calibri" w:hAnsi="Calibri" w:cs="Calibri"/>
                          <w:lang w:val="en-GB"/>
                        </w:rPr>
                      </w:pPr>
                      <w:r>
                        <w:rPr>
                          <w:rFonts w:ascii="Calibri" w:hAnsi="Calibri" w:cs="Calibri"/>
                          <w:lang w:val="en-GB"/>
                        </w:rPr>
                        <w:t>Provide study programme.</w:t>
                      </w:r>
                    </w:p>
                    <w:p>
                      <w:pPr>
                        <w:spacing w:after="0"/>
                        <w:jc w:val="both"/>
                        <w:rPr>
                          <w:rFonts w:ascii="Calibri" w:hAnsi="Calibri" w:cs="Calibri"/>
                          <w:lang w:val="en-GB"/>
                        </w:rPr>
                      </w:pPr>
                      <w:r>
                        <w:rPr>
                          <w:rFonts w:ascii="Calibri" w:hAnsi="Calibri" w:cs="Calibri"/>
                          <w:lang w:val="en-GB"/>
                        </w:rPr>
                        <w:t>Identify Responsible persons.</w:t>
                      </w:r>
                    </w:p>
                    <w:p>
                      <w:pPr>
                        <w:spacing w:after="0"/>
                        <w:jc w:val="both"/>
                        <w:rPr>
                          <w:rFonts w:ascii="Calibri" w:hAnsi="Calibri" w:cs="Calibri"/>
                          <w:b/>
                          <w:lang w:val="en-GB"/>
                        </w:rPr>
                      </w:pPr>
                      <w:r>
                        <w:rPr>
                          <w:rFonts w:ascii="Calibri" w:hAnsi="Calibri" w:cs="Calibri"/>
                          <w:lang w:val="en-GB"/>
                        </w:rPr>
                        <w:t>Commitment of the three parties with original / scanned / digital signatures.</w:t>
                      </w:r>
                    </w:p>
                  </w:txbxContent>
                </v:textbox>
                <w10:wrap type="topAndBottom"/>
              </v:shape>
            </w:pict>
          </mc:Fallback>
        </mc:AlternateContent>
      </w:r>
      <w:r>
        <w:rPr>
          <w:rFonts w:ascii="Verdana" w:hAnsi="Verdana" w:cstheme="minorHAnsi"/>
          <w:b/>
          <w:noProof/>
          <w:color w:val="002060"/>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pPr>
                              <w:jc w:val="center"/>
                              <w:rPr>
                                <w:rFonts w:ascii="Calibri" w:hAnsi="Calibri" w:cs="Calibri"/>
                                <w:b/>
                                <w:sz w:val="24"/>
                                <w:lang w:val="en-GB"/>
                              </w:rPr>
                            </w:pPr>
                            <w:r>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pPr>
                        <w:jc w:val="center"/>
                        <w:rPr>
                          <w:rFonts w:ascii="Calibri" w:hAnsi="Calibri" w:cs="Calibri"/>
                          <w:b/>
                          <w:sz w:val="24"/>
                          <w:lang w:val="en-GB"/>
                        </w:rPr>
                      </w:pPr>
                      <w:r>
                        <w:rPr>
                          <w:rFonts w:ascii="Verdana" w:hAnsi="Verdana" w:cs="Calibri"/>
                          <w:b/>
                          <w:color w:val="002060"/>
                          <w:sz w:val="24"/>
                          <w:lang w:val="en-GB"/>
                        </w:rPr>
                        <w:t>Before the mobility</w:t>
                      </w:r>
                    </w:p>
                  </w:txbxContent>
                </v:textbox>
                <w10:wrap type="topAndBottom"/>
              </v:shape>
            </w:pict>
          </mc:Fallback>
        </mc:AlternateContent>
      </w:r>
      <w:r>
        <w:rPr>
          <w:rFonts w:ascii="Verdana" w:hAnsi="Verdana" w:cstheme="minorHAnsi"/>
          <w:b/>
          <w:color w:val="002060"/>
          <w:sz w:val="18"/>
          <w:szCs w:val="18"/>
          <w:lang w:val="en-GB"/>
        </w:rPr>
        <w:t>Steps to fill in the Learning Agreement for Studies</w:t>
      </w:r>
    </w:p>
    <w:p>
      <w:pPr>
        <w:tabs>
          <w:tab w:val="left" w:pos="2977"/>
          <w:tab w:val="left" w:pos="7371"/>
        </w:tabs>
        <w:rPr>
          <w:rFonts w:ascii="Verdana" w:eastAsia="Times New Roman" w:hAnsi="Verdana" w:cs="Calibri"/>
          <w:b/>
          <w:color w:val="002060"/>
          <w:sz w:val="18"/>
          <w:szCs w:val="18"/>
          <w:lang w:val="en-GB"/>
        </w:rPr>
      </w:pPr>
      <w:r>
        <w:rPr>
          <w:rFonts w:ascii="Verdana" w:hAnsi="Verdana" w:cs="Calibri"/>
          <w:b/>
          <w:noProof/>
          <w:color w:val="002060"/>
          <w:sz w:val="18"/>
          <w:szCs w:val="18"/>
          <w:lang w:val="fr-BE" w:eastAsia="fr-BE"/>
        </w:rPr>
        <mc:AlternateContent>
          <mc:Choice Requires="wps">
            <w:drawing>
              <wp:anchor distT="0" distB="0" distL="114300" distR="114300" simplePos="0" relativeHeight="251660288" behindDoc="0" locked="0" layoutInCell="1" allowOverlap="1">
                <wp:simplePos x="0" y="0"/>
                <wp:positionH relativeFrom="column">
                  <wp:posOffset>1823085</wp:posOffset>
                </wp:positionH>
                <wp:positionV relativeFrom="paragraph">
                  <wp:posOffset>2445385</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3.55pt;margin-top:192.5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n-GB"/>
                        </w:rPr>
                      </w:pPr>
                      <w:r>
                        <w:rPr>
                          <w:rFonts w:ascii="Calibri" w:hAnsi="Calibri" w:cs="Calibri"/>
                          <w:b/>
                          <w:lang w:val="en-GB"/>
                        </w:rPr>
                        <w:t>If modifications are needed:</w:t>
                      </w:r>
                    </w:p>
                    <w:p>
                      <w:pPr>
                        <w:shd w:val="clear" w:color="auto" w:fill="F79646"/>
                        <w:spacing w:after="0"/>
                        <w:jc w:val="both"/>
                        <w:rPr>
                          <w:rFonts w:ascii="Calibri" w:hAnsi="Calibri" w:cs="Calibri"/>
                          <w:lang w:val="en-GB"/>
                        </w:rPr>
                      </w:pPr>
                      <w:r>
                        <w:rPr>
                          <w:rFonts w:ascii="Calibri" w:hAnsi="Calibri" w:cs="Calibri"/>
                          <w:lang w:val="en-GB"/>
                        </w:rPr>
                        <w:t xml:space="preserve">A party requests changes within 5 weeks after the start of each semester. Agreement by the three parties has to be reached within 2 weeks after the request. </w:t>
                      </w:r>
                    </w:p>
                    <w:p>
                      <w:pPr>
                        <w:shd w:val="clear" w:color="auto" w:fill="F79646"/>
                        <w:spacing w:after="0"/>
                        <w:jc w:val="both"/>
                        <w:rPr>
                          <w:rFonts w:ascii="Calibri" w:hAnsi="Calibri" w:cs="Calibri"/>
                          <w:lang w:val="en-GB"/>
                        </w:rPr>
                      </w:pPr>
                      <w:r>
                        <w:rPr>
                          <w:rFonts w:ascii="Calibri" w:hAnsi="Calibri" w:cs="Calibri"/>
                          <w:lang w:val="en-GB"/>
                        </w:rPr>
                        <w:t>Request for extension of the duration has to be made at the latest one month before the foreseen end date.</w:t>
                      </w:r>
                    </w:p>
                    <w:p>
                      <w:pPr>
                        <w:shd w:val="clear" w:color="auto" w:fill="F79646"/>
                        <w:spacing w:after="0"/>
                        <w:jc w:val="both"/>
                        <w:rPr>
                          <w:rFonts w:ascii="Calibri" w:hAnsi="Calibri" w:cs="Calibri"/>
                          <w:lang w:val="en-GB"/>
                        </w:rPr>
                      </w:pPr>
                      <w:r>
                        <w:rPr>
                          <w:rFonts w:ascii="Calibri" w:hAnsi="Calibri" w:cs="Calibri"/>
                          <w:lang w:val="en-GB"/>
                        </w:rPr>
                        <w:t>An agreement by the three parties on the changes is possible via email/digital signatures.</w:t>
                      </w:r>
                    </w:p>
                    <w:p>
                      <w:pPr>
                        <w:shd w:val="clear" w:color="auto" w:fill="F79646"/>
                        <w:spacing w:after="0"/>
                        <w:jc w:val="both"/>
                        <w:rPr>
                          <w:rFonts w:ascii="Calibri" w:hAnsi="Calibri" w:cs="Calibri"/>
                          <w:lang w:val="en-GB"/>
                        </w:rPr>
                      </w:pPr>
                    </w:p>
                    <w:p>
                      <w:pPr>
                        <w:shd w:val="clear" w:color="auto" w:fill="F79646"/>
                        <w:spacing w:after="0"/>
                        <w:jc w:val="center"/>
                        <w:rPr>
                          <w:rFonts w:ascii="Calibri" w:hAnsi="Calibri" w:cs="Calibri"/>
                          <w:b/>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6432" behindDoc="0" locked="0" layoutInCell="1" allowOverlap="1">
                <wp:simplePos x="0" y="0"/>
                <wp:positionH relativeFrom="column">
                  <wp:posOffset>1856740</wp:posOffset>
                </wp:positionH>
                <wp:positionV relativeFrom="paragraph">
                  <wp:posOffset>4902835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46.2pt;margin-top:386.05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" fillcolor="#92d050" strokecolor="#f2f2f2" strokeweight="3pt">
                <v:shadow on="t" color="#4e6128" opacity=".5" offset="1pt"/>
                <v:textbox>
                  <w:txbxContent>
                    <w:p>
                      <w:pPr>
                        <w:spacing w:after="0"/>
                        <w:jc w:val="center"/>
                        <w:rPr>
                          <w:rFonts w:ascii="Verdana" w:hAnsi="Verdana" w:cs="Calibri"/>
                          <w:b/>
                          <w:color w:val="002060"/>
                          <w:lang w:val="en-GB"/>
                        </w:rPr>
                      </w:pPr>
                      <w:r>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5408" behindDoc="0" locked="0" layoutInCell="1" allowOverlap="1">
                <wp:simplePos x="0" y="0"/>
                <wp:positionH relativeFrom="column">
                  <wp:posOffset>1823085</wp:posOffset>
                </wp:positionH>
                <wp:positionV relativeFrom="paragraph">
                  <wp:posOffset>5502910</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143.55pt;margin-top:433.3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Ds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" fillcolor="#92d050" strokecolor="#f2f2f2" strokeweight="3pt">
                <v:shadow on="t" color="#4e6128" opacity=".5" offset="1pt"/>
                <v:textbox>
                  <w:txbxContent>
                    <w:p>
                      <w:pPr>
                        <w:spacing w:after="0"/>
                        <w:jc w:val="both"/>
                        <w:rPr>
                          <w:rFonts w:ascii="Calibri" w:hAnsi="Calibri" w:cs="Calibri"/>
                          <w:lang w:val="en-GB"/>
                        </w:rPr>
                      </w:pPr>
                      <w:r>
                        <w:rPr>
                          <w:rFonts w:ascii="Calibri" w:hAnsi="Calibri" w:cs="Calibri"/>
                          <w:b/>
                          <w:u w:val="single"/>
                          <w:lang w:val="en-GB"/>
                        </w:rPr>
                        <w:t>The Receiving Institution</w:t>
                      </w:r>
                      <w:r>
                        <w:rPr>
                          <w:rFonts w:ascii="Calibri" w:hAnsi="Calibri" w:cs="Calibri"/>
                          <w:lang w:val="en-GB"/>
                        </w:rPr>
                        <w:t xml:space="preserve"> provides a Transcript of Records to the student and Sending Institution normally within 5 weeks after publication of the results. </w:t>
                      </w:r>
                    </w:p>
                    <w:p>
                      <w:pPr>
                        <w:spacing w:after="0"/>
                        <w:jc w:val="both"/>
                        <w:rPr>
                          <w:rFonts w:ascii="Calibri" w:hAnsi="Calibri" w:cs="Calibri"/>
                          <w:lang w:val="en-GB"/>
                        </w:rPr>
                      </w:pPr>
                      <w:r>
                        <w:rPr>
                          <w:rFonts w:ascii="Calibri" w:hAnsi="Calibri" w:cs="Calibri"/>
                          <w:b/>
                          <w:u w:val="single"/>
                          <w:lang w:val="en-GB"/>
                        </w:rPr>
                        <w:t>The Sending Institution</w:t>
                      </w:r>
                      <w:r>
                        <w:rPr>
                          <w:rFonts w:ascii="Calibri" w:hAnsi="Calibri" w:cs="Calibri"/>
                          <w:lang w:val="en-GB"/>
                        </w:rPr>
                        <w:t xml:space="preserve"> recognises the activities successfully completed by the student during the mobility, </w:t>
                      </w:r>
                      <w:r>
                        <w:rPr>
                          <w:rFonts w:cstheme="minorHAnsi"/>
                          <w:lang w:val="en-GB"/>
                        </w:rPr>
                        <w:t xml:space="preserve">counts them towards </w:t>
                      </w:r>
                      <w:r>
                        <w:rPr>
                          <w:rFonts w:ascii="Calibri" w:hAnsi="Calibri" w:cs="Calibri"/>
                          <w:lang w:val="en-GB"/>
                        </w:rPr>
                        <w:t>the student’s the degree and registers them in the student’s Transcript of Records normally within 5 weeks.</w:t>
                      </w:r>
                    </w:p>
                    <w:p>
                      <w:pPr>
                        <w:spacing w:after="0"/>
                        <w:jc w:val="both"/>
                        <w:rPr>
                          <w:rFonts w:ascii="Calibri" w:hAnsi="Calibri" w:cs="Calibri"/>
                          <w:lang w:val="en-GB"/>
                        </w:rPr>
                      </w:pPr>
                    </w:p>
                  </w:txbxContent>
                </v:textbox>
              </v:shape>
            </w:pict>
          </mc:Fallback>
        </mc:AlternateContent>
      </w:r>
      <w:r>
        <w:rPr>
          <w:rFonts w:ascii="Verdana" w:hAnsi="Verdana" w:cs="Calibri"/>
          <w:b/>
          <w:noProof/>
          <w:color w:val="002060"/>
          <w:sz w:val="18"/>
          <w:szCs w:val="18"/>
          <w:lang w:val="fr-BE" w:eastAsia="fr-BE"/>
        </w:rPr>
        <mc:AlternateContent>
          <mc:Choice Requires="wps">
            <w:drawing>
              <wp:anchor distT="0" distB="0" distL="114300" distR="114300" simplePos="0" relativeHeight="251664384" behindDoc="0" locked="0" layoutInCell="1" allowOverlap="1">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pPr>
                        <w:shd w:val="clear" w:color="auto" w:fill="F79646"/>
                        <w:spacing w:after="0"/>
                        <w:jc w:val="center"/>
                        <w:rPr>
                          <w:rFonts w:ascii="Calibri" w:hAnsi="Calibri" w:cs="Calibri"/>
                          <w:b/>
                          <w:lang w:val="es-ES"/>
                        </w:rPr>
                      </w:pPr>
                      <w:r>
                        <w:rPr>
                          <w:rFonts w:ascii="Verdana" w:hAnsi="Verdana" w:cs="Calibri"/>
                          <w:b/>
                          <w:color w:val="002060"/>
                          <w:lang w:val="en-GB"/>
                        </w:rPr>
                        <w:t>During the mobility</w:t>
                      </w:r>
                    </w:p>
                  </w:txbxContent>
                </v:textbox>
                <w10:wrap type="topAndBottom"/>
              </v:shape>
            </w:pict>
          </mc:Fallback>
        </mc:AlternateContent>
      </w:r>
      <w:r>
        <w:rPr>
          <w:rFonts w:ascii="Verdana" w:hAnsi="Verdana" w:cs="Calibri"/>
          <w:b/>
          <w:color w:val="002060"/>
          <w:sz w:val="18"/>
          <w:szCs w:val="18"/>
          <w:lang w:val="en-GB"/>
        </w:rPr>
        <w:br w:type="page"/>
      </w:r>
    </w:p>
    <w:p>
      <w:pPr>
        <w:rPr>
          <w:rFonts w:ascii="Verdana" w:hAnsi="Verdana"/>
          <w:sz w:val="18"/>
          <w:szCs w:val="18"/>
          <w:lang w:val="en-GB"/>
        </w:rPr>
      </w:pPr>
    </w:p>
    <w:sectPr>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Mobility window</w:t>
      </w:r>
      <w:r>
        <w:rPr>
          <w:rFonts w:cstheme="minorHAnsi"/>
          <w:lang w:val="en-GB"/>
        </w:rPr>
        <w:t>: a period of time reserved for student credit mobility that is embedded into the curriculum of a study programme.</w:t>
      </w:r>
    </w:p>
  </w:endnote>
  <w:endnote w:id="2">
    <w:p>
      <w:pPr>
        <w:pStyle w:val="Notedebasdepage"/>
        <w:spacing w:before="120" w:after="120"/>
        <w:rPr>
          <w:rFonts w:cstheme="minorHAnsi"/>
          <w:b/>
          <w:lang w:val="en-GB"/>
        </w:rPr>
      </w:pPr>
      <w:r>
        <w:rPr>
          <w:rStyle w:val="Appeldenotedefin"/>
        </w:rPr>
        <w:endnoteRef/>
      </w:r>
      <w:r>
        <w:rPr>
          <w:lang w:val="en-GB"/>
        </w:rPr>
        <w:t xml:space="preserve">  </w:t>
      </w:r>
      <w:r>
        <w:rPr>
          <w:rFonts w:cstheme="minorHAnsi"/>
          <w:b/>
          <w:lang w:val="en-GB"/>
        </w:rPr>
        <w:t>Reasons for exceptional changes to study programme abroad (choose an item number from the table below):</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tc>
          <w:tcPr>
            <w:tcW w:w="6218"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rPr>
                <w:rFonts w:cstheme="minorHAnsi"/>
                <w:b/>
                <w:i/>
                <w:iCs/>
                <w:u w:val="single"/>
                <w:lang w:val="en-GB"/>
              </w:rPr>
            </w:pPr>
            <w:r>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pPr>
              <w:pStyle w:val="Notedebasdepage"/>
              <w:rPr>
                <w:rFonts w:cstheme="minorHAnsi"/>
                <w:b/>
                <w:i/>
                <w:iCs/>
                <w:u w:val="single"/>
                <w:lang w:val="en-GB"/>
              </w:rPr>
            </w:pPr>
            <w:r>
              <w:rPr>
                <w:rFonts w:cstheme="minorHAnsi"/>
                <w:b/>
                <w:i/>
                <w:iCs/>
                <w:lang w:val="en-GB"/>
              </w:rPr>
              <w:t>Reason for adding a component</w:t>
            </w:r>
          </w:p>
        </w:tc>
      </w:tr>
      <w:tr>
        <w:tc>
          <w:tcPr>
            <w:tcW w:w="6218" w:type="dxa"/>
            <w:tcBorders>
              <w:top w:val="single" w:sz="12" w:space="0" w:color="000000"/>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1.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5. Substituting a deleted component</w:t>
            </w:r>
          </w:p>
        </w:tc>
      </w:tr>
      <w:tr>
        <w:tc>
          <w:tcPr>
            <w:tcW w:w="6218"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2.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6. Extending the mobility period</w:t>
            </w:r>
          </w:p>
        </w:tc>
      </w:tr>
      <w:tr>
        <w:tc>
          <w:tcPr>
            <w:tcW w:w="6218" w:type="dxa"/>
            <w:tcBorders>
              <w:top w:val="nil"/>
              <w:left w:val="single" w:sz="12" w:space="0" w:color="000000"/>
              <w:bottom w:val="nil"/>
              <w:right w:val="single" w:sz="12" w:space="0" w:color="000000"/>
            </w:tcBorders>
            <w:shd w:val="clear" w:color="auto" w:fill="auto"/>
          </w:tcPr>
          <w:p>
            <w:pPr>
              <w:pStyle w:val="Notedebasdepage"/>
              <w:rPr>
                <w:rFonts w:cstheme="minorHAnsi"/>
                <w:lang w:val="en-GB"/>
              </w:rPr>
            </w:pPr>
            <w:r>
              <w:rPr>
                <w:rFonts w:cstheme="minorHAnsi"/>
                <w:lang w:val="en-GB"/>
              </w:rPr>
              <w:t>3. Timetable conflict</w:t>
            </w:r>
          </w:p>
        </w:tc>
        <w:tc>
          <w:tcPr>
            <w:tcW w:w="3387" w:type="dxa"/>
            <w:tcBorders>
              <w:top w:val="nil"/>
              <w:left w:val="single" w:sz="12" w:space="0" w:color="000000"/>
              <w:bottom w:val="nil"/>
              <w:right w:val="single" w:sz="12" w:space="0" w:color="000000"/>
            </w:tcBorders>
            <w:shd w:val="clear" w:color="auto" w:fill="auto"/>
          </w:tcPr>
          <w:p>
            <w:pPr>
              <w:pStyle w:val="Notedebasdepage"/>
              <w:rPr>
                <w:rFonts w:cstheme="minorHAnsi"/>
                <w:u w:val="single"/>
                <w:lang w:val="en-GB"/>
              </w:rPr>
            </w:pPr>
            <w:r>
              <w:rPr>
                <w:rFonts w:cstheme="minorHAnsi"/>
                <w:lang w:val="en-GB"/>
              </w:rPr>
              <w:t>7. Other (please specify)</w:t>
            </w:r>
          </w:p>
        </w:tc>
      </w:tr>
      <w:tr>
        <w:tc>
          <w:tcPr>
            <w:tcW w:w="6218" w:type="dxa"/>
            <w:tcBorders>
              <w:top w:val="nil"/>
              <w:left w:val="single" w:sz="12" w:space="0" w:color="000000"/>
              <w:bottom w:val="single" w:sz="12" w:space="0" w:color="000000"/>
              <w:right w:val="single" w:sz="12" w:space="0" w:color="000000"/>
            </w:tcBorders>
            <w:shd w:val="clear" w:color="auto" w:fill="auto"/>
          </w:tcPr>
          <w:p>
            <w:pPr>
              <w:pStyle w:val="Notedebasdepage"/>
              <w:rPr>
                <w:rFonts w:cstheme="minorHAnsi"/>
                <w:lang w:val="en-GB"/>
              </w:rPr>
            </w:pPr>
            <w:r>
              <w:rPr>
                <w:rFonts w:cstheme="minorHAnsi"/>
                <w:lang w:val="en-GB"/>
              </w:rPr>
              <w:t>4. 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pPr>
              <w:pStyle w:val="Notedebasdepage"/>
              <w:rPr>
                <w:rFonts w:cstheme="minorHAnsi"/>
                <w:u w:val="single"/>
                <w:lang w:val="en-GB"/>
              </w:rPr>
            </w:pPr>
          </w:p>
        </w:tc>
      </w:tr>
    </w:tbl>
    <w:p>
      <w:pPr>
        <w:pStyle w:val="Notedefin"/>
        <w:rPr>
          <w:lang w:val="en-GB"/>
        </w:rPr>
      </w:pPr>
    </w:p>
  </w:endnote>
  <w:endnote w:id="3">
    <w:p>
      <w:pPr>
        <w:pStyle w:val="Notedefin"/>
        <w:spacing w:before="120" w:after="120"/>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Recognition</w:t>
      </w:r>
      <w:r>
        <w:rPr>
          <w:rFonts w:cstheme="minorHAnsi"/>
          <w:lang w:val="en-GB"/>
        </w:rPr>
        <w:t>: all the credits (or equivalent units) that the student has earned during the mobility and that were specified in the final version of the Learning Agreement as counting towards his/her degree (Table B and, if applicable, B2 of the official template) are recognised by the Sending Institution and count towards the student’s degree without the need to take any further courses or exams.</w:t>
      </w:r>
    </w:p>
  </w:endnote>
  <w:endnote w:id="4">
    <w:p>
      <w:pPr>
        <w:pStyle w:val="Notedefin"/>
        <w:spacing w:before="120" w:after="120"/>
        <w:jc w:val="both"/>
        <w:rPr>
          <w:lang w:val="en-GB"/>
        </w:rPr>
      </w:pPr>
      <w:r>
        <w:rPr>
          <w:rStyle w:val="Appeldenotedefin"/>
          <w:rFonts w:cstheme="minorHAnsi"/>
        </w:rPr>
        <w:endnoteRef/>
      </w:r>
      <w:r>
        <w:rPr>
          <w:rFonts w:cstheme="minorHAnsi"/>
          <w:lang w:val="en-GB"/>
        </w:rPr>
        <w:t xml:space="preserve"> </w:t>
      </w:r>
      <w:r>
        <w:rPr>
          <w:rFonts w:cstheme="minorHAnsi"/>
          <w:b/>
          <w:lang w:val="en-GB"/>
        </w:rPr>
        <w:t>ECTS Users' Guide</w:t>
      </w:r>
      <w:r>
        <w:rPr>
          <w:rFonts w:cstheme="minorHAnsi"/>
          <w:lang w:val="en-GB"/>
        </w:rPr>
        <w:t xml:space="preserve">: </w:t>
      </w:r>
      <w:hyperlink r:id="rId1" w:history="1">
        <w:r>
          <w:rPr>
            <w:rStyle w:val="Lienhypertexte"/>
            <w:rFonts w:cstheme="minorHAnsi"/>
            <w:lang w:val="en-GB"/>
          </w:rPr>
          <w:t>http://ec.europa.eu/education/ects/users-guide/index_en.htm</w:t>
        </w:r>
      </w:hyperlink>
      <w:r>
        <w:rPr>
          <w:rStyle w:val="Lienhypertexte"/>
          <w:rFonts w:cstheme="minorHAnsi"/>
          <w:lang w:val="en-GB"/>
        </w:rPr>
        <w:t xml:space="preserve"> </w:t>
      </w:r>
    </w:p>
  </w:endnote>
  <w:endnote w:id="5">
    <w:p>
      <w:pPr>
        <w:pStyle w:val="Notedefin"/>
        <w:rPr>
          <w:lang w:val="en-GB"/>
        </w:rPr>
      </w:pPr>
      <w:r>
        <w:rPr>
          <w:rStyle w:val="Appeldenotedefin"/>
        </w:rPr>
        <w:endnoteRef/>
      </w:r>
      <w:r>
        <w:rPr>
          <w:lang w:val="en-GB"/>
        </w:rPr>
        <w:t xml:space="preserve"> </w:t>
      </w:r>
      <w:r>
        <w:rPr>
          <w:rFonts w:cstheme="minorHAnsi"/>
          <w:b/>
          <w:lang w:val="en-GB"/>
        </w:rPr>
        <w:t>EGRACONS Grade Conversion Tool:</w:t>
      </w:r>
      <w:r>
        <w:rPr>
          <w:lang w:val="en-GB"/>
        </w:rPr>
        <w:t xml:space="preserve"> 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w:drawing>
        <wp:anchor distT="0" distB="0" distL="114300" distR="114300" simplePos="0" relativeHeight="251659264" behindDoc="0" locked="0" layoutInCell="1" allowOverlap="1">
          <wp:simplePos x="0" y="0"/>
          <wp:positionH relativeFrom="column">
            <wp:posOffset>554990</wp:posOffset>
          </wp:positionH>
          <wp:positionV relativeFrom="paragraph">
            <wp:posOffset>10160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rPr>
        <w:rFonts w:ascii="Verdana" w:hAnsi="Verdana"/>
        <w:b/>
        <w:noProof/>
        <w:sz w:val="18"/>
        <w:szCs w:val="18"/>
        <w:lang w:val="fr-BE" w:eastAsia="fr-BE"/>
      </w:rPr>
      <mc:AlternateContent>
        <mc:Choice Requires="wps">
          <w:drawing>
            <wp:anchor distT="0" distB="0" distL="114300" distR="114300" simplePos="0" relativeHeight="251663360" behindDoc="0" locked="0" layoutInCell="1" allowOverlap="1">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Studies</w:t>
                    </w:r>
                  </w:p>
                  <w:p>
                    <w:pPr>
                      <w:tabs>
                        <w:tab w:val="left" w:pos="3119"/>
                      </w:tabs>
                      <w:spacing w:after="120"/>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p>
  <w:p>
    <w:pPr>
      <w:tabs>
        <w:tab w:val="left" w:pos="3119"/>
      </w:tabs>
      <w:spacing w:after="0"/>
      <w:rPr>
        <w:rFonts w:ascii="Verdana" w:hAnsi="Verdana" w:cstheme="minorHAnsi"/>
        <w:b/>
        <w:i/>
        <w:color w:val="003CB4"/>
        <w:sz w:val="14"/>
        <w:szCs w:val="14"/>
        <w:lang w:val="en-GB"/>
      </w:rPr>
    </w:pPr>
    <w:r>
      <w:rPr>
        <w:rFonts w:ascii="Verdana" w:hAnsi="Verdana" w:cstheme="minorHAnsi"/>
        <w:sz w:val="14"/>
        <w:szCs w:val="14"/>
        <w:lang w:val="en-GB"/>
      </w:rPr>
      <w:t>E+2020-HESM-Annex V. Ia- Learning Agreement for studies form-version du 30/04/2020</w:t>
    </w:r>
    <w:bookmarkStart w:id="0" w:name="_GoBack"/>
    <w:bookmarkEnd w:id="0"/>
  </w:p>
  <w:p>
    <w:pPr>
      <w:pStyle w:val="En-tte"/>
      <w:tabs>
        <w:tab w:val="clear" w:pos="4536"/>
        <w:tab w:val="clear" w:pos="9072"/>
        <w:tab w:val="left" w:pos="152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31CFFB34-E3BC-4548-BF66-166056C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lang w:val="it-IT"/>
    </w:rPr>
  </w:style>
  <w:style w:type="character" w:styleId="Lienhypertexte">
    <w:name w:val="Hyperlink"/>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it-IT"/>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it-IT"/>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it-IT"/>
    </w:rPr>
  </w:style>
  <w:style w:type="paragraph" w:styleId="Notedebasdepage">
    <w:name w:val="footnote text"/>
    <w:basedOn w:val="Normal"/>
    <w:link w:val="NotedebasdepageCar"/>
    <w:unhideWhenUsed/>
    <w:pPr>
      <w:spacing w:after="0" w:line="240" w:lineRule="auto"/>
    </w:pPr>
    <w:rPr>
      <w:sz w:val="20"/>
      <w:szCs w:val="20"/>
    </w:rPr>
  </w:style>
  <w:style w:type="character" w:customStyle="1" w:styleId="NotedebasdepageCar">
    <w:name w:val="Note de bas de page Car"/>
    <w:basedOn w:val="Policepardfaut"/>
    <w:link w:val="Notedebasdepage"/>
    <w:rPr>
      <w:sz w:val="20"/>
      <w:szCs w:val="20"/>
      <w:lang w:val="it-IT"/>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Pr>
      <w:color w:val="80808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it-IT"/>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cfd06d9f-862c-4359-9a69-c66ff689f26a"/>
  </ds:schemaRefs>
</ds:datastoreItem>
</file>

<file path=customXml/itemProps2.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8D6EE8D0-39B0-488A-BC34-908740AF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6</Pages>
  <Words>2208</Words>
  <Characters>12150</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DELBASCOURT Mélanie</cp:lastModifiedBy>
  <cp:revision>6</cp:revision>
  <cp:lastPrinted>2018-02-21T14:56:00Z</cp:lastPrinted>
  <dcterms:created xsi:type="dcterms:W3CDTF">2018-03-21T08:49:00Z</dcterms:created>
  <dcterms:modified xsi:type="dcterms:W3CDTF">2020-04-30T09:49:00Z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